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batch-scheduler allocation (e.g. a PBS job) into a single OpenAI-compatible inference service: it launches a Ray cluster over the allocation, stages model weights to node-local storage with an MPI broadcast, deploys one inference replica per GPU tile as Ray Serve applications — a single EngineWorker host over a pluggable engine backend (vLLM or SGLang, via EXASERVE_ENGINE) — and optionally fronts them with a pluggable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PBS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batch-scheduler allocation (e.g. a PBS job)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requests/s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PBS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exaserve-serve-submit (batch, from a login node) or exaserve-launch-cluster (interactive) bring up the whole stack on a PBS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PBS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The package installs into the Python provided by Aurora’s frameworks module, which already ships Ray, vLLM, MPI, and the oneAPI toolchain; pip adds only the exaserve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exaserve-serve-submit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exaserve-serve-submit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requests/s with Llama-3-8B at 256 nodes / 3,072 single-tile replicas, 0% errors. Streaming (SSE) is harder on a centralized front end: the per-token delivery path saturates the head node’s network at large node counts, so requests still complete but slowly — streaming throughput plateaus around 4.7k requests/s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query/s at 2 replicas to 31.0 query/s at 128 replicas (4 to 256 nodes) — 67% weak-scaling efficiency vs the 4-node base, sublinear rather than linear. Through a single HAProxy the service tracks the proxy-bypass diagnostic up to 64 nodes (9.3 query/s,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PBS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Select the SGLang engine backend instead of the default vLLM (both plug into the same EngineWorker host)</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Portability.  </w:t>
            </w:r>
            <w:r>
              <w:t xml:space="preserve">The inference engine and front-end proxy are pluggable (EXASERVE_ENGINE / proxy_config.type), but the batch scheduler is PBS-only today: the launcher reads $PBS_NODEFILE and stages over mpiexec/PALS. A SchedulerBackend interface is designed (doc/design/scheduler_abstraction.md) but not yet implemented — another scheduler currently means writing that backend (e.g. srun instead of mpiexec). Slurm is the planned first addition. Accelerator support is likewise Intel-XPU-only today, with a NVIDIA/AMD vendor abstraction designed but not built.</w:t>
            </w:r>
          </w:p>
        </w:tc>
      </w:tr>
    </w:tbl>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