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Faktorenanalyse (EFA/CFA)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Ziel der explorativen Faktorenanalyse (EFA)?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Regressionen durchzuführen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vorab festgelegte Faktorenstruktur bestätigen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Korrelationen zu berechnen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Struktur in einer Variablenmenge entdecken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der Unterschied zwischen EFA und CFA?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EFA ist explorativ, CFA ist konfirmatorisch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CFA erklärt mehr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EFA verwendet mehr Variablen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Eigenwert (Eigenvalü)?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Anzahl der Items pro Faktor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 zwischen Faktor und Item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p-Wert des Faktors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durch einen Faktor erklärte Varianz</w:t>
      </w:r>
    </w:p>
    <w:p>
      <w:pPr>
        <w:spacing w:before="200"/>
      </w:pPr>
      <w:r>
        <w:rPr>
          <w:rFonts w:ascii="Calibri" w:hAnsi="Calibri"/>
          <w:b/>
          <w:sz w:val="20"/>
        </w:rPr>
        <w:t>4. Welcher Eigenwert ist das Kaiser-Kriterium?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Eigenwert &gt;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Eigenwert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Eigenwert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Eigenwert &gt; 10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eine Faktorladung?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Eigenwert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Kommunalitätswert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Varianz des Faktors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Korrelation zwischen Item und Faktor</w:t>
      </w:r>
    </w:p>
    <w:p>
      <w:pPr>
        <w:spacing w:before="200"/>
      </w:pPr>
      <w:r>
        <w:rPr>
          <w:rFonts w:ascii="Calibri" w:hAnsi="Calibri"/>
          <w:b/>
          <w:sz w:val="20"/>
        </w:rPr>
        <w:t>6. Was ist Kommunalität?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Eigenwert des Faktors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Anteil der Itemvarianz, der durch alle Faktoren erklärt wird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 zwischen zwei Faktoren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p-Wert des Items</w:t>
      </w:r>
    </w:p>
    <w:p>
      <w:pPr>
        <w:spacing w:before="200"/>
      </w:pPr>
      <w:r>
        <w:rPr>
          <w:rFonts w:ascii="Calibri" w:hAnsi="Calibri"/>
          <w:b/>
          <w:sz w:val="20"/>
        </w:rPr>
        <w:t>7. Welcher Fit-Index ist für CFA zentral?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CFI (Comparative Fit Index)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Cohens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VIF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p-Wert</w:t>
      </w:r>
    </w:p>
    <w:p>
      <w:pPr>
        <w:spacing w:before="200"/>
      </w:pPr>
      <w:r>
        <w:rPr>
          <w:rFonts w:ascii="Calibri" w:hAnsi="Calibri"/>
          <w:b/>
          <w:sz w:val="20"/>
        </w:rPr>
        <w:t>8. Welcher RMSEA-Wert deutet auf einen guten Fit hin?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&lt; 1.0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&lt; 0.10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&lt; 0.06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&lt; 0.20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Faktorenanalyse (EFA/CFA)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