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4213D"/>
          <w:sz w:val="36"/>
        </w:rPr>
        <w:t>Statistische Datenvisualisierung</w:t>
      </w:r>
    </w:p>
    <w:p>
      <w:pPr>
        <w:jc w:val="center"/>
      </w:pPr>
      <w:r>
        <w:rPr>
          <w:rFonts w:ascii="Calibri" w:hAnsi="Calibri"/>
          <w:i/>
          <w:color w:val="4F6D8A"/>
          <w:sz w:val="20"/>
        </w:rPr>
        <w:t>Methoden-Dossier | Basic-Niveau</w:t>
      </w:r>
    </w:p>
    <w:p/>
    <w:p>
      <w:pPr>
        <w:spacing w:before="280" w:after="120"/>
      </w:pPr>
      <w:r>
        <w:rPr>
          <w:rFonts w:ascii="Calibri" w:hAnsi="Calibri"/>
          <w:b/>
          <w:color w:val="14213D"/>
          <w:sz w:val="28"/>
        </w:rPr>
        <w:t>1. Methodenbeschreibung</w:t>
      </w:r>
    </w:p>
    <w:p>
      <w:pPr>
        <w:spacing w:before="40" w:after="80"/>
      </w:pPr>
      <w:r>
        <w:rPr>
          <w:rFonts w:ascii="Calibri" w:hAnsi="Calibri"/>
          <w:sz w:val="19"/>
        </w:rPr>
        <w:t>Gute Datenvisualisierung ist oft wichtiger als die statistische Analyse selbst: Sie macht Muster, Ausreisser und Verteilungen sichtbar, die in Kennziffern unsichtbar bleiben (Anscombes Quartett). Jede Visualisierung sollte informativ, nicht irreführend und fuer die Zielgruppe verstaendlich sein.</w:t>
      </w:r>
    </w:p>
    <w:p>
      <w:pPr>
        <w:spacing w:before="200" w:after="60"/>
      </w:pPr>
      <w:r>
        <w:rPr>
          <w:rFonts w:ascii="Calibri" w:hAnsi="Calibri"/>
          <w:b/>
          <w:color w:val="14213D"/>
          <w:sz w:val="22"/>
        </w:rPr>
        <w:t>Verteilungen darstellen</w:t>
      </w:r>
    </w:p>
    <w:p>
      <w:pPr>
        <w:spacing w:before="40" w:after="80"/>
      </w:pPr>
      <w:r>
        <w:rPr>
          <w:rFonts w:ascii="Calibri" w:hAnsi="Calibri"/>
          <w:sz w:val="19"/>
        </w:rPr>
        <w:t>Histogramm: Bins (Klassen) sollten weder zu gross noch zu klein sein. Sturges-Regel: k = log2(n)+1. Boxplot: Median, IQR, Whisker (1,5*IQR), Ausreisser als Punkte. Violinplot: Kombiniert Boxplot mit Kerndichteschaetzung. Q-Q-Plot: Test auf Normalverteilung (Punkte auf Diagonale = Normalverteilung).</w:t>
      </w:r>
    </w:p>
    <w:p>
      <w:pPr>
        <w:spacing w:before="200" w:after="60"/>
      </w:pPr>
      <w:r>
        <w:rPr>
          <w:rFonts w:ascii="Calibri" w:hAnsi="Calibri"/>
          <w:b/>
          <w:color w:val="14213D"/>
          <w:sz w:val="22"/>
        </w:rPr>
        <w:t>Zusammenhaenge darstellen</w:t>
      </w:r>
    </w:p>
    <w:p>
      <w:pPr>
        <w:spacing w:before="40" w:after="80"/>
      </w:pPr>
      <w:r>
        <w:rPr>
          <w:rFonts w:ascii="Calibri" w:hAnsi="Calibri"/>
          <w:sz w:val="19"/>
        </w:rPr>
        <w:t>Scatterplot: Punktewolke mit ggf. Regressionsgerade (geom_smooth in ggplot). Bei überlappenden Punkten: Jitter, Transparenz (alpha) oder 2D-Histogramm. Scatterplot-Matrix (pairs) fuer mehrere Variablen.</w:t>
      </w:r>
    </w:p>
    <w:p>
      <w:pPr>
        <w:spacing w:before="200" w:after="60"/>
      </w:pPr>
      <w:r>
        <w:rPr>
          <w:rFonts w:ascii="Calibri" w:hAnsi="Calibri"/>
          <w:b/>
          <w:color w:val="14213D"/>
          <w:sz w:val="22"/>
        </w:rPr>
        <w:t>Gruppenvergleiche</w:t>
      </w:r>
    </w:p>
    <w:p>
      <w:pPr>
        <w:spacing w:before="40" w:after="80"/>
      </w:pPr>
      <w:r>
        <w:rPr>
          <w:rFonts w:ascii="Calibri" w:hAnsi="Calibri"/>
          <w:sz w:val="19"/>
        </w:rPr>
        <w:t>Balkendiagramm: Mittelwert +/- Fehlerbalken (95%-KI oder 1 SD). Nicht geeignet fuer rohe Datenverteilung. Bessere Alternative: Raincloud-Plot (Violin + Stripchart + Boxplot). Gestapelte Balken fuer kategoriale Daten.</w:t>
      </w:r>
    </w:p>
    <w:p>
      <w:pPr>
        <w:spacing w:before="200" w:after="60"/>
      </w:pPr>
      <w:r>
        <w:rPr>
          <w:rFonts w:ascii="Calibri" w:hAnsi="Calibri"/>
          <w:b/>
          <w:color w:val="14213D"/>
          <w:sz w:val="22"/>
        </w:rPr>
        <w:t>Zeitverlaeufe</w:t>
      </w:r>
    </w:p>
    <w:p>
      <w:pPr>
        <w:spacing w:before="40" w:after="80"/>
      </w:pPr>
      <w:r>
        <w:rPr>
          <w:rFonts w:ascii="Calibri" w:hAnsi="Calibri"/>
          <w:sz w:val="19"/>
        </w:rPr>
        <w:t>Linienplot: Mittelwert über Zeit +/- CI-Band. Spaghetti-Plot: Einzelverlaeufe aller Personen (transparent). Slope-Plot: Prae-Post-Veränderung fuer jede Person.</w:t>
      </w:r>
    </w:p>
    <w:p>
      <w:pPr>
        <w:spacing w:before="280" w:after="120"/>
      </w:pPr>
      <w:r>
        <w:rPr>
          <w:rFonts w:ascii="Calibri" w:hAnsi="Calibri"/>
          <w:b/>
          <w:color w:val="14213D"/>
          <w:sz w:val="28"/>
        </w:rPr>
        <w:t>2. Fachbereichsspezifische Beispiele</w:t>
      </w:r>
    </w:p>
    <w:p>
      <w:pPr>
        <w:spacing w:before="200" w:after="60"/>
      </w:pPr>
      <w:r>
        <w:rPr>
          <w:rFonts w:ascii="Calibri" w:hAnsi="Calibri"/>
          <w:b/>
          <w:color w:val="14213D"/>
          <w:sz w:val="22"/>
        </w:rPr>
        <w:t>Medizin</w:t>
      </w:r>
    </w:p>
    <w:p>
      <w:pPr>
        <w:spacing w:before="40" w:after="80"/>
      </w:pPr>
      <w:r>
        <w:rPr>
          <w:rFonts w:ascii="Calibri" w:hAnsi="Calibri"/>
          <w:sz w:val="19"/>
        </w:rPr>
        <w:t>Forest-Plot fuer Meta-Analyse: Punkt + KI fuer jede Studie. Zusammenfassungs-Diamant unten. Kaplan-Meier-Kurve mit Risikotabelle unter der x-Achse. Bland-Altman-Plot: Differenz gegen Mittelwert zweier Messmethoden.</w:t>
      </w:r>
    </w:p>
    <w:p>
      <w:pPr>
        <w:spacing w:before="200" w:after="60"/>
      </w:pPr>
      <w:r>
        <w:rPr>
          <w:rFonts w:ascii="Calibri" w:hAnsi="Calibri"/>
          <w:b/>
          <w:color w:val="14213D"/>
          <w:sz w:val="22"/>
        </w:rPr>
        <w:t>Psychologie</w:t>
      </w:r>
    </w:p>
    <w:p>
      <w:pPr>
        <w:spacing w:before="40" w:after="80"/>
      </w:pPr>
      <w:r>
        <w:rPr>
          <w:rFonts w:ascii="Calibri" w:hAnsi="Calibri"/>
          <w:sz w:val="19"/>
        </w:rPr>
        <w:t>Raincloud-Plot fuer Gruppenvergleich (Kontrolle vs. klinische Gruppe). Scatterplot mit Regressionsgerade und 95%-KI-Band fuer Zusammenhaenge. Q-Q-Plot zur Normalverteilungsprüfung.</w:t>
      </w:r>
    </w:p>
    <w:p>
      <w:pPr>
        <w:spacing w:before="200" w:after="60"/>
      </w:pPr>
      <w:r>
        <w:rPr>
          <w:rFonts w:ascii="Calibri" w:hAnsi="Calibri"/>
          <w:b/>
          <w:color w:val="14213D"/>
          <w:sz w:val="22"/>
        </w:rPr>
        <w:t>Wirtschaftswissenschaften</w:t>
      </w:r>
    </w:p>
    <w:p>
      <w:pPr>
        <w:spacing w:before="40" w:after="80"/>
      </w:pPr>
      <w:r>
        <w:rPr>
          <w:rFonts w:ascii="Calibri" w:hAnsi="Calibri"/>
          <w:sz w:val="19"/>
        </w:rPr>
        <w:t>Heatmap der Korrelationsmatrix (corrplot). Wasserfall-Chart fuer Gewinn-Veränderungen. Zeitreihen mit gleitendem Durchschnitt und Prognoseintervall.</w:t>
      </w:r>
    </w:p>
    <w:p>
      <w:pPr>
        <w:spacing w:before="200" w:after="60"/>
      </w:pPr>
      <w:r>
        <w:rPr>
          <w:rFonts w:ascii="Calibri" w:hAnsi="Calibri"/>
          <w:b/>
          <w:color w:val="14213D"/>
          <w:sz w:val="22"/>
        </w:rPr>
        <w:t>Sportwissenschaften</w:t>
      </w:r>
    </w:p>
    <w:p>
      <w:pPr>
        <w:spacing w:before="40" w:after="80"/>
      </w:pPr>
      <w:r>
        <w:rPr>
          <w:rFonts w:ascii="Calibri" w:hAnsi="Calibri"/>
          <w:sz w:val="19"/>
        </w:rPr>
        <w:t>Spaghetti-Plot fuer Leistungsentwicklung mehrerer Athleten über Saisons. Bland-Altman fuer Methodenvergleich (z. B. zwei Sprungkraftmessgeraete).</w:t>
      </w:r>
    </w:p>
    <w:p>
      <w:pPr>
        <w:spacing w:before="280" w:after="120"/>
      </w:pPr>
      <w:r>
        <w:rPr>
          <w:rFonts w:ascii="Calibri" w:hAnsi="Calibri"/>
          <w:b/>
          <w:color w:val="14213D"/>
          <w:sz w:val="28"/>
        </w:rPr>
        <w:t>3. Grundsaetze guter Visualisierung</w:t>
      </w:r>
    </w:p>
    <w:p>
      <w:pPr>
        <w:spacing w:before="20" w:after="20"/>
        <w:ind w:left="283"/>
      </w:pPr>
      <w:r>
        <w:rPr>
          <w:rFonts w:ascii="Calibri" w:hAnsi="Calibri"/>
          <w:sz w:val="18"/>
        </w:rPr>
        <w:t xml:space="preserve">y-Achse bei 0 beginnen (ausser bei logarithmierten Daten oder Differenzen)</w:t>
      </w:r>
    </w:p>
    <w:p>
      <w:pPr>
        <w:spacing w:before="20" w:after="20"/>
        <w:ind w:left="283"/>
      </w:pPr>
      <w:r>
        <w:rPr>
          <w:rFonts w:ascii="Calibri" w:hAnsi="Calibri"/>
          <w:sz w:val="18"/>
        </w:rPr>
        <w:t xml:space="preserve">Kein 3D (verzerrt Proportionen, erschwert Ablesen)</w:t>
      </w:r>
    </w:p>
    <w:p>
      <w:pPr>
        <w:spacing w:before="20" w:after="20"/>
        <w:ind w:left="283"/>
      </w:pPr>
      <w:r>
        <w:rPr>
          <w:rFonts w:ascii="Calibri" w:hAnsi="Calibri"/>
          <w:sz w:val="18"/>
        </w:rPr>
        <w:t xml:space="preserve">Farben: farbenblindfreundlich (ColorBrewer, viridis), konsistent</w:t>
      </w:r>
    </w:p>
    <w:p>
      <w:pPr>
        <w:spacing w:before="20" w:after="20"/>
        <w:ind w:left="283"/>
      </w:pPr>
      <w:r>
        <w:rPr>
          <w:rFonts w:ascii="Calibri" w:hAnsi="Calibri"/>
          <w:sz w:val="18"/>
        </w:rPr>
        <w:t xml:space="preserve">Daten-Tinte-Verhältnis maximieren (Tufte) — Chartjunk vermeiden</w:t>
      </w:r>
    </w:p>
    <w:p>
      <w:pPr>
        <w:spacing w:before="20" w:after="20"/>
        <w:ind w:left="283"/>
      </w:pPr>
      <w:r>
        <w:rPr>
          <w:rFonts w:ascii="Calibri" w:hAnsi="Calibri"/>
          <w:sz w:val="18"/>
        </w:rPr>
        <w:t xml:space="preserve">Beschriftungen: Achsen, Legende, Titel — selbsterklaerend</w:t>
      </w:r>
    </w:p>
    <w:p>
      <w:pPr>
        <w:spacing w:before="280" w:after="120"/>
      </w:pPr>
      <w:r>
        <w:rPr>
          <w:rFonts w:ascii="Calibri" w:hAnsi="Calibri"/>
          <w:b/>
          <w:color w:val="14213D"/>
          <w:sz w:val="28"/>
        </w:rPr>
        <w:t>4. Code-Beispiele</w:t>
      </w:r>
    </w:p>
    <w:p>
      <w:pPr>
        <w:spacing w:before="120" w:after="40"/>
      </w:pPr>
      <w:r>
        <w:rPr>
          <w:rFonts w:ascii="Calibri" w:hAnsi="Calibri"/>
          <w:b/>
          <w:color w:val="14213D"/>
          <w:sz w:val="20"/>
        </w:rPr>
        <w:t>R - ggplot2:</w:t>
      </w:r>
    </w:p>
    <w:p>
      <w:pPr>
        <w:spacing w:before="0" w:after="0"/>
        <w:ind w:left="283"/>
      </w:pPr>
      <w:r>
        <w:rPr>
          <w:rFonts w:ascii="Consolas" w:hAnsi="Consolas"/>
          <w:color w:val="14213D"/>
          <w:sz w:val="17"/>
        </w:rPr>
        <w:t>library(ggplot2)</w:t>
      </w:r>
    </w:p>
    <w:p>
      <w:pPr>
        <w:spacing w:before="0" w:after="0"/>
        <w:ind w:left="283"/>
      </w:pPr>
      <w:r>
        <w:rPr>
          <w:rFonts w:ascii="Consolas" w:hAnsi="Consolas"/>
          <w:color w:val="14213D"/>
          <w:sz w:val="17"/>
        </w:rPr>
        <w:t># Histogramm</w:t>
      </w:r>
    </w:p>
    <w:p>
      <w:pPr>
        <w:spacing w:before="0" w:after="0"/>
        <w:ind w:left="283"/>
      </w:pPr>
      <w:r>
        <w:rPr>
          <w:rFonts w:ascii="Consolas" w:hAnsi="Consolas"/>
          <w:color w:val="14213D"/>
          <w:sz w:val="17"/>
        </w:rPr>
        <w:t>ggplot(df, aes(x=wert)) + geom_histogram(bins=30) + theme_minimal()</w:t>
      </w:r>
    </w:p>
    <w:p>
      <w:pPr>
        <w:spacing w:before="0" w:after="0"/>
        <w:ind w:left="283"/>
      </w:pPr>
      <w:r>
        <w:rPr>
          <w:rFonts w:ascii="Consolas" w:hAnsi="Consolas"/>
          <w:color w:val="14213D"/>
          <w:sz w:val="17"/>
        </w:rPr>
        <w:t># Boxplot + Violin</w:t>
      </w:r>
    </w:p>
    <w:p>
      <w:pPr>
        <w:spacing w:before="0" w:after="0"/>
        <w:ind w:left="283"/>
      </w:pPr>
      <w:r>
        <w:rPr>
          <w:rFonts w:ascii="Consolas" w:hAnsi="Consolas"/>
          <w:color w:val="14213D"/>
          <w:sz w:val="17"/>
        </w:rPr>
        <w:t>ggplot(df, aes(x=gruppe, y=wert)) + geom_violin() + geom_boxplot(width=0.2)</w:t>
      </w:r>
    </w:p>
    <w:p>
      <w:pPr>
        <w:spacing w:before="0" w:after="0"/>
        <w:ind w:left="283"/>
      </w:pPr>
      <w:r>
        <w:rPr>
          <w:rFonts w:ascii="Consolas" w:hAnsi="Consolas"/>
          <w:color w:val="14213D"/>
          <w:sz w:val="17"/>
        </w:rPr>
        <w:t># Scatterplot + Regression</w:t>
      </w:r>
    </w:p>
    <w:p>
      <w:pPr>
        <w:spacing w:before="0" w:after="0"/>
        <w:ind w:left="283"/>
      </w:pPr>
      <w:r>
        <w:rPr>
          <w:rFonts w:ascii="Consolas" w:hAnsi="Consolas"/>
          <w:color w:val="14213D"/>
          <w:sz w:val="17"/>
        </w:rPr>
        <w:t>ggplot(df, aes(x=x, y=y)) + geom_point(alpha=0.5) + geom_smooth(method="lm")</w:t>
      </w:r>
    </w:p>
    <w:p>
      <w:pPr>
        <w:spacing w:before="0" w:after="0"/>
        <w:ind w:left="283"/>
      </w:pPr>
      <w:r>
        <w:rPr>
          <w:rFonts w:ascii="Consolas" w:hAnsi="Consolas"/>
          <w:color w:val="14213D"/>
          <w:sz w:val="17"/>
        </w:rPr>
        <w:t># Raincloud-Plot</w:t>
      </w:r>
    </w:p>
    <w:p>
      <w:pPr>
        <w:spacing w:before="0" w:after="0"/>
        <w:ind w:left="283"/>
      </w:pPr>
      <w:r>
        <w:rPr>
          <w:rFonts w:ascii="Consolas" w:hAnsi="Consolas"/>
          <w:color w:val="14213D"/>
          <w:sz w:val="17"/>
        </w:rPr>
        <w:t>library(raincloudplots)</w:t>
      </w:r>
    </w:p>
    <w:p>
      <w:pPr>
        <w:spacing w:before="0" w:after="0"/>
        <w:ind w:left="283"/>
      </w:pPr>
      <w:r>
        <w:rPr>
          <w:rFonts w:ascii="Consolas" w:hAnsi="Consolas"/>
          <w:color w:val="14213D"/>
          <w:sz w:val="17"/>
        </w:rPr>
        <w:t># Forest-Plot</w:t>
      </w:r>
    </w:p>
    <w:p>
      <w:pPr>
        <w:spacing w:before="0" w:after="0"/>
        <w:ind w:left="283"/>
      </w:pPr>
      <w:r>
        <w:rPr>
          <w:rFonts w:ascii="Consolas" w:hAnsi="Consolas"/>
          <w:color w:val="14213D"/>
          <w:sz w:val="17"/>
        </w:rPr>
        <w:t>library(forestplot)</w:t>
      </w:r>
    </w:p>
    <w:p>
      <w:pPr>
        <w:spacing w:before="0" w:after="0"/>
        <w:ind w:left="283"/>
      </w:pPr>
      <w:r>
        <w:rPr>
          <w:rFonts w:ascii="Consolas" w:hAnsi="Consolas"/>
          <w:color w:val="14213D"/>
          <w:sz w:val="17"/>
        </w:rPr>
        <w:t># Kaplan-Meier</w:t>
      </w:r>
    </w:p>
    <w:p>
      <w:pPr>
        <w:spacing w:before="0" w:after="0"/>
        <w:ind w:left="283"/>
      </w:pPr>
      <w:r>
        <w:rPr>
          <w:rFonts w:ascii="Consolas" w:hAnsi="Consolas"/>
          <w:color w:val="14213D"/>
          <w:sz w:val="17"/>
        </w:rPr>
        <w:t>library(survminer); ggsurvplot(fit)</w:t>
      </w:r>
    </w:p>
    <w:p>
      <w:pPr>
        <w:spacing w:before="0" w:after="0"/>
        <w:ind w:left="283"/>
      </w:pPr>
      <w:r>
        <w:rPr>
          <w:rFonts w:ascii="Consolas" w:hAnsi="Consolas"/>
          <w:color w:val="14213D"/>
          <w:sz w:val="17"/>
        </w:rPr>
        <w:t># Korrelations-Hitmap</w:t>
      </w:r>
    </w:p>
    <w:p>
      <w:pPr>
        <w:spacing w:before="0" w:after="0"/>
        <w:ind w:left="283"/>
      </w:pPr>
      <w:r>
        <w:rPr>
          <w:rFonts w:ascii="Consolas" w:hAnsi="Consolas"/>
          <w:color w:val="14213D"/>
          <w:sz w:val="17"/>
        </w:rPr>
        <w:t>library(corrplot); corrplot(cor(df))</w:t>
      </w:r>
    </w:p>
    <w:p>
      <w:pPr>
        <w:spacing w:before="120" w:after="40"/>
      </w:pPr>
      <w:r>
        <w:rPr>
          <w:rFonts w:ascii="Calibri" w:hAnsi="Calibri"/>
          <w:b/>
          <w:color w:val="14213D"/>
          <w:sz w:val="20"/>
        </w:rPr>
        <w:t>Python - matplotlib/seaborn:</w:t>
      </w:r>
    </w:p>
    <w:p>
      <w:pPr>
        <w:spacing w:before="0" w:after="0"/>
        <w:ind w:left="283"/>
      </w:pPr>
      <w:r>
        <w:rPr>
          <w:rFonts w:ascii="Consolas" w:hAnsi="Consolas"/>
          <w:color w:val="14213D"/>
          <w:sz w:val="17"/>
        </w:rPr>
        <w:t>import matplotlib.pyplot as plt</w:t>
      </w:r>
    </w:p>
    <w:p>
      <w:pPr>
        <w:spacing w:before="0" w:after="0"/>
        <w:ind w:left="283"/>
      </w:pPr>
      <w:r>
        <w:rPr>
          <w:rFonts w:ascii="Consolas" w:hAnsi="Consolas"/>
          <w:color w:val="14213D"/>
          <w:sz w:val="17"/>
        </w:rPr>
        <w:t>import seaborn as sns</w:t>
      </w:r>
    </w:p>
    <w:p>
      <w:pPr>
        <w:spacing w:before="0" w:after="0"/>
        <w:ind w:left="283"/>
      </w:pPr>
      <w:r>
        <w:rPr>
          <w:rFonts w:ascii="Consolas" w:hAnsi="Consolas"/>
          <w:color w:val="14213D"/>
          <w:sz w:val="17"/>
        </w:rPr>
        <w:t># Histogramm</w:t>
      </w:r>
    </w:p>
    <w:p>
      <w:pPr>
        <w:spacing w:before="0" w:after="0"/>
        <w:ind w:left="283"/>
      </w:pPr>
      <w:r>
        <w:rPr>
          <w:rFonts w:ascii="Consolas" w:hAnsi="Consolas"/>
          <w:color w:val="14213D"/>
          <w:sz w:val="17"/>
        </w:rPr>
        <w:t>sns.histplot(data=df, x="wert", bins=30)</w:t>
      </w:r>
    </w:p>
    <w:p>
      <w:pPr>
        <w:spacing w:before="0" w:after="0"/>
        <w:ind w:left="283"/>
      </w:pPr>
      <w:r>
        <w:rPr>
          <w:rFonts w:ascii="Consolas" w:hAnsi="Consolas"/>
          <w:color w:val="14213D"/>
          <w:sz w:val="17"/>
        </w:rPr>
        <w:t># Boxplot + Violin</w:t>
      </w:r>
    </w:p>
    <w:p>
      <w:pPr>
        <w:spacing w:before="0" w:after="0"/>
        <w:ind w:left="283"/>
      </w:pPr>
      <w:r>
        <w:rPr>
          <w:rFonts w:ascii="Consolas" w:hAnsi="Consolas"/>
          <w:color w:val="14213D"/>
          <w:sz w:val="17"/>
        </w:rPr>
        <w:t>sns.violinplot(data=df, x="gruppe", y="wert")</w:t>
      </w:r>
    </w:p>
    <w:p>
      <w:pPr>
        <w:spacing w:before="0" w:after="0"/>
        <w:ind w:left="283"/>
      </w:pPr>
      <w:r>
        <w:rPr>
          <w:rFonts w:ascii="Consolas" w:hAnsi="Consolas"/>
          <w:color w:val="14213D"/>
          <w:sz w:val="17"/>
        </w:rPr>
        <w:t>sns.boxplot(data=df, x="gruppe", y="wert", width=0.2)</w:t>
      </w:r>
    </w:p>
    <w:p>
      <w:pPr>
        <w:spacing w:before="0" w:after="0"/>
        <w:ind w:left="283"/>
      </w:pPr>
      <w:r>
        <w:rPr>
          <w:rFonts w:ascii="Consolas" w:hAnsi="Consolas"/>
          <w:color w:val="14213D"/>
          <w:sz w:val="17"/>
        </w:rPr>
        <w:t># Scatterplot + Regression</w:t>
      </w:r>
    </w:p>
    <w:p>
      <w:pPr>
        <w:spacing w:before="0" w:after="0"/>
        <w:ind w:left="283"/>
      </w:pPr>
      <w:r>
        <w:rPr>
          <w:rFonts w:ascii="Consolas" w:hAnsi="Consolas"/>
          <w:color w:val="14213D"/>
          <w:sz w:val="17"/>
        </w:rPr>
        <w:t>sns.regplot(data=df, x="x", y="y")</w:t>
      </w:r>
    </w:p>
    <w:p>
      <w:pPr>
        <w:spacing w:before="0" w:after="0"/>
        <w:ind w:left="283"/>
      </w:pPr>
      <w:r>
        <w:rPr>
          <w:rFonts w:ascii="Consolas" w:hAnsi="Consolas"/>
          <w:color w:val="14213D"/>
          <w:sz w:val="17"/>
        </w:rPr>
        <w:t># Pairplot</w:t>
      </w:r>
    </w:p>
    <w:p>
      <w:pPr>
        <w:spacing w:before="0" w:after="0"/>
        <w:ind w:left="283"/>
      </w:pPr>
      <w:r>
        <w:rPr>
          <w:rFonts w:ascii="Consolas" w:hAnsi="Consolas"/>
          <w:color w:val="14213D"/>
          <w:sz w:val="17"/>
        </w:rPr>
        <w:t>sns.pairplot(df)</w:t>
      </w:r>
    </w:p>
    <w:p>
      <w:pPr>
        <w:spacing w:before="0" w:after="0"/>
        <w:ind w:left="283"/>
      </w:pPr>
      <w:r>
        <w:rPr>
          <w:rFonts w:ascii="Consolas" w:hAnsi="Consolas"/>
          <w:color w:val="14213D"/>
          <w:sz w:val="17"/>
        </w:rPr>
        <w:t># Heatmap</w:t>
      </w:r>
    </w:p>
    <w:p>
      <w:pPr>
        <w:spacing w:before="0" w:after="0"/>
        <w:ind w:left="283"/>
      </w:pPr>
      <w:r>
        <w:rPr>
          <w:rFonts w:ascii="Consolas" w:hAnsi="Consolas"/>
          <w:color w:val="14213D"/>
          <w:sz w:val="17"/>
        </w:rPr>
        <w:t>sns.heatmap(df.corr(), annot=True, cmap="RdBu_r")</w:t>
      </w:r>
    </w:p>
    <w:p>
      <w:pPr>
        <w:spacing w:before="280" w:after="120"/>
      </w:pPr>
      <w:r>
        <w:rPr>
          <w:rFonts w:ascii="Calibri" w:hAnsi="Calibri"/>
          <w:b/>
          <w:color w:val="14213D"/>
          <w:sz w:val="28"/>
        </w:rPr>
        <w:t>5. Erweiterung</w:t>
      </w:r>
    </w:p>
    <w:p>
      <w:pPr>
        <w:spacing w:before="200" w:after="60"/>
      </w:pPr>
      <w:r>
        <w:rPr>
          <w:rFonts w:ascii="Calibri" w:hAnsi="Calibri"/>
          <w:b/>
          <w:color w:val="14213D"/>
          <w:sz w:val="22"/>
        </w:rPr>
        <w:t>Interaktive Visualisierungen</w:t>
      </w:r>
    </w:p>
    <w:p>
      <w:pPr>
        <w:spacing w:before="40" w:after="80"/>
      </w:pPr>
      <w:r>
        <w:rPr>
          <w:rFonts w:ascii="Calibri" w:hAnsi="Calibri"/>
          <w:sz w:val="19"/>
        </w:rPr>
        <w:t>plotly (R/Python): Zoom, Tooltips, Animation. Fuer explorative Analysen und Dashboards. shiny (R) / dash (Python) fuer interaktive Web-Apps.</w:t>
      </w:r>
    </w:p>
    <w:p>
      <w:pPr>
        <w:spacing w:before="200" w:after="60"/>
      </w:pPr>
      <w:r>
        <w:rPr>
          <w:rFonts w:ascii="Calibri" w:hAnsi="Calibri"/>
          <w:b/>
          <w:color w:val="14213D"/>
          <w:sz w:val="22"/>
        </w:rPr>
        <w:t>Spezialplots</w:t>
      </w:r>
    </w:p>
    <w:p>
      <w:pPr>
        <w:spacing w:before="40" w:after="80"/>
      </w:pPr>
      <w:r>
        <w:rPr>
          <w:rFonts w:ascii="Calibri" w:hAnsi="Calibri"/>
          <w:sz w:val="19"/>
        </w:rPr>
        <w:t>Venn-Diagramm (Schnittmengen, auch eulerr), Sankey-Diagramm (Flows), Network-Plot (Netzwerke), Chord-Diagramm (Beziehungen zwischen Gruppen), Geomapping (choropleth).</w:t>
      </w:r>
    </w:p>
    <w:p>
      <w:pPr>
        <w:spacing w:before="280" w:after="120"/>
      </w:pPr>
      <w:r>
        <w:rPr>
          <w:rFonts w:ascii="Calibri" w:hAnsi="Calibri"/>
          <w:b/>
          <w:color w:val="14213D"/>
          <w:sz w:val="28"/>
        </w:rPr>
        <w:t>6. Übungsaufgaben</w:t>
      </w:r>
    </w:p>
    <w:p>
      <w:pPr>
        <w:spacing w:before="40" w:after="80"/>
      </w:pPr>
      <w:r>
        <w:rPr>
          <w:rFonts w:ascii="Calibri" w:hAnsi="Calibri"/>
          <w:sz w:val="19"/>
        </w:rPr>
        <w:t>Aufgabe 1: Du hast 2 Gruppen (n=50) mit metrischer AV. a) Welcher Plot-Typ zeigt die Verteilung am besten? b) Erstelle den Plot in R oder Python. c) Welche Information fehlt in einem reinen Balkendiagramm mit Fehlerbalken?</w:t>
      </w:r>
    </w:p>
    <w:p>
      <w:pPr>
        <w:spacing w:before="40" w:after="80"/>
      </w:pPr>
      <w:r>
        <w:rPr>
          <w:rFonts w:ascii="Calibri" w:hAnsi="Calibri"/>
          <w:sz w:val="19"/>
        </w:rPr>
        <w:t>Aufgabe 2: Ein Scatterplot von 500 Punkten zeigt Überlappung. a) Drei Methoden, um Überlappung sichtbar zu machen. b) Ein Kollege verwendet 3D-Balken — warum ist das problematisch?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headerReference w:type="even" r:id="rId12"/>
      <w:footerReference w:type="first" r:id="rId13"/>
      <w:footerReference w:type="even" r:id="rId14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sz w:val="14"/>
        <w:szCs w:val="14"/>
        <w:rFonts w:ascii="Calibri" w:hAnsi="Calibri"/>
      </w:rPr>
      <w:t xml:space="preserve">Kevin Glock Statistical Consulting Services | GSC Services · www.kevinglock.de</w:t>
    </w:r>
    <w:r>
      <w:rPr>
        <w:sz w:val="18"/>
        <w:szCs w:val="18"/>
        <w:rFonts w:ascii="Cambria" w:hAnsi="Cambria"/>
      </w:rPr>
      <w:t xml:space="preserve"> | Seite </w:t>
    </w:r>
    <w:r>
      <w:rPr>
        <w:sz w:val="18"/>
        <w:szCs w:val="18"/>
        <w:rFonts w:ascii="Cambria" w:hAnsi="Cambria"/>
      </w:rPr>
      <w:fldChar w:fldCharType="begin"/>
    </w:r>
    <w:r>
      <w:rPr>
        <w:sz w:val="18"/>
        <w:szCs w:val="18"/>
        <w:rFonts w:ascii="Cambria" w:hAnsi="Cambria"/>
      </w:rPr>
      <w:instrText xml:space="preserve"> PAGE </w:instrText>
    </w:r>
    <w:r>
      <w:rPr>
        <w:sz w:val="18"/>
        <w:szCs w:val="18"/>
        <w:rFonts w:ascii="Cambria" w:hAnsi="Cambria"/>
      </w:rPr>
      <w:fldChar w:fldCharType="separate"/>
    </w:r>
    <w:r>
      <w:rPr>
        <w:sz w:val="18"/>
        <w:szCs w:val="18"/>
        <w:rFonts w:ascii="Cambria" w:hAnsi="Cambria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ook w:firstColumn="1" w:firstRow="1" w:lastColumn="0" w:lastRow="0" w:noHBand="0" w:noVBand="1" w:val="04A0"/>
    </w:tblPr>
    <w:tblGrid>
      <w:gridCol w:w="4680"/>
      <w:gridCol w:w="4680"/>
    </w:tblGrid>
    <w:tr>
      <w:tc>
        <w:tcPr>
          <w:tcW w:type="dxa" w:w="4680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1008000" cy="2016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compact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12801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</w:tcPr>
        <w:p>
          <w:pPr>
            <w:jc w:val="right"/>
            <w:spacing w:after="0" w:line="240" w:lineRule="auto"/>
          </w:pPr>
          <w:r>
            <w:rPr>
              <w:b/>
              <w:sz w:val="18"/>
              <w:szCs w:val="18"/>
              <w:rFonts w:ascii="Calibri" w:hAnsi="Calibri"/>
              <w:color w:val="14213D"/>
            </w:rPr>
            <w:t xml:space="preserve">Kevin Glock Statistical Consulting Services | GSC Services</w:t>
          </w:r>
        </w:p>
        <w:p>
          <w:pPr>
            <w:jc w:val="right"/>
          </w:pPr>
          <w:r>
            <w:rPr>
              <w:sz w:val="17"/>
              <w:szCs w:val="17"/>
              <w:rFonts w:ascii="Calibri" w:hAnsi="Calibri"/>
              <w:color w:val="4F6D8A"/>
            </w:rPr>
            <w:t xml:space="preserve">Methoden-Dossier</w:t>
          </w:r>
        </w:p>
      </w:tc>
    </w:tr>
  </w:tbl>
  <w:p w14:paraId="7C74DF6B" w14:textId="77777777" w:rsidR="003D5C0B" w:rsidRDefault="00000000">
    <w:pPr>
      <w:spacing w:after="80"/>
    </w:pPr>
    <w:r>
      <w:rPr>
        <w:color w:val="FF6600"/>
        <w:sz w:val="8"/>
      </w:rPr>
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2.xml"/><Relationship Id="rId14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