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Klassische Testtheorie &amp; Reliabilitaetsanalyse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Die Klassische Testtheorie (KTT) ist das fundamentale Messmodell der psychologischen und paedagogischen Diagnostik. Sie zerlegt jeden beobachteten Messwert X in einen wahren Wert T und einen Messfehler E: X = T + E. Zentrale Anahme: Der Erwartungswert des Messfehlers ist null (E[E]=0), und Fehler sind unabhaengig vom wahren Wert und untereinander.</w:t>
      </w:r>
    </w:p>
    <w:p>
      <w:pPr>
        <w:spacing w:before="40" w:after="80"/>
      </w:pPr>
      <w:r>
        <w:rPr>
          <w:rFonts w:ascii="Calibri" w:hAnsi="Calibri"/>
          <w:sz w:val="19"/>
        </w:rPr>
        <w:t>Reliabilitaet (Zuverlaessigkeit) ist der Anteil der wahren Varianz an der beobachteten Varianz: r = Var(T) / Var(X). Sie gibt an, wie genau/zuverlaessig ein Messinstrument misst. Drei Hauptmethoden zur Schaetzung: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Interne Konsistenz (Cronbachs Alpha)</w:t>
      </w:r>
    </w:p>
    <w:p>
      <w:pPr>
        <w:spacing w:before="40" w:after="80"/>
      </w:pPr>
      <w:r>
        <w:rPr>
          <w:rFonts w:ascii="Calibri" w:hAnsi="Calibri"/>
          <w:sz w:val="19"/>
        </w:rPr>
        <w:t>Basiert auf den mittleren Korrelationen aller Items eines Tests. alpha = (k/(k-1)) * (1 - sum(Var_i)/Var_ges). Werte 0-1, Faustregel: alpha &gt; 0,7 akzeptabel, &gt; 0,8 gut, &gt; 0,9 exzellent. Wichtig: Alpha steigt mit der Itemanzahl — ein hohes Alpha allein bedeutet nicht automatisch hohe Qualitaet.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Test-Retest-Reliabilitaet</w:t>
      </w:r>
    </w:p>
    <w:p>
      <w:pPr>
        <w:spacing w:before="40" w:after="80"/>
      </w:pPr>
      <w:r>
        <w:rPr>
          <w:rFonts w:ascii="Calibri" w:hAnsi="Calibri"/>
          <w:sz w:val="19"/>
        </w:rPr>
        <w:t>Korrelation zwischen zwei Messungen desselben Tests zu zwei Zeitpunkten. Misst die zeitliche Stabilitat. Probleme: Übungseffekte, Erinnerungseffekte, echte Veränderung. Ideal: 2-4 Wochen Abstand.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Split-Half-Reliabilitaet</w:t>
      </w:r>
    </w:p>
    <w:p>
      <w:pPr>
        <w:spacing w:before="40" w:after="80"/>
      </w:pPr>
      <w:r>
        <w:rPr>
          <w:rFonts w:ascii="Calibri" w:hAnsi="Calibri"/>
          <w:sz w:val="19"/>
        </w:rPr>
        <w:t>Teilt den Test in zwei Haelfte (z. B. gerade vs. ungerade Items) und korreliert die Haelfte. Korrigiert mit Spearman-Brown-Formel: r_ges = 2*r_halb / (1 + r_halb).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Paralleltest-Reliabilitaet</w:t>
      </w:r>
    </w:p>
    <w:p>
      <w:pPr>
        <w:spacing w:before="40" w:after="80"/>
      </w:pPr>
      <w:r>
        <w:rPr>
          <w:rFonts w:ascii="Calibri" w:hAnsi="Calibri"/>
          <w:sz w:val="19"/>
        </w:rPr>
        <w:t>Korrelation zwischen zwei parallelen Testformen. Selten praktisch umsetzbar, da parallele Formen schwer zu konstruieren sind.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Entwicklung eines neuen Depressionsfragebogens (20 Items, 5-stufige Likert-Skala). Cronbachs Alpha = 0,92 im Pilottest (n=150). Itemanalyse: Trennschaerfen zwischen 0,35 und 0,72. Drei Items mit Trennschaerfe &lt; 0,30 werden entfernt — neues Alpha = 0,94.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Gesundheitsfragebogen SF-36: Test-Retest-Reliabilitaet von 0,85 fuer die koerperliche Summenskala bei 2-Wochen-Abstand. Split-Half-Reliabilitaet der Schmerzskala: r=0,82, Spearman-Brown-korrigiert: r=0,90.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Politikverdrossenheitsskala (5 Items): Alpha = 0,68 — grenzwertig. Nach Tiefenanalyse wird ein Item mit negativer Trennschaerfe entfernt (Formulierung zu komplex). Verbessertes Alpha = 0,76.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Fragebogen zur intrinsischen Motivation im Sport (10 Items). Cronbachs Alpha = 0,88. Split-Half: r=0,79, Spearman-Brown = 0,88. Test-Retest nach 3 Wochen: r=0,81.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Mitarbeiterzufriedenheitsumfrage (15 Items). Gesamtskala Alpha = 0,91. Subskalen: Arbeitsbedingungen (5 Items, alpha=0,84), Fuehrung (5 Items, alpha=0,88), Gehalt (5 Items, alpha=0,72).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X = T + E (additives Modell)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E[E] = 0 (kein systematischer Fehler)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r(T, E) = 0 (Fehler unabhaengig vom wahren 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r(E_i, E_j) = 0 (Fehler zwischen Items unabhaengig)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Mindestens 2 Items pro Skala (besser 3-5 fuer stabiles Alpha)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Metrische oder ordinale Items (Likert-Skala ab 5 Stufen als metrisch akzeptiert)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ReliabilitaetsKoeffizient mit 95%-KI angeben (nicht nur Punktwert)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Itemanzahl, Stichprobengröße und Skalierung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Alpha: "Cronbachs Alpha betrug α = 0,87 (95 %-KI [0,82; 0,91], n = 200, 10 Items)."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Itemkennwerte (Mittelwert, SD, Trennschaerfe, Schwierigkeit) tabellarisch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Alpha-wenn-Item-geloescht-Tabelle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Test-Retest: Zeitintervall und Stichprobenbeschreibung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Reliabilitaetsanalyse: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library(psych)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Daten: Items als Spalten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alpha(items) # Cronbachs Alpha + Itemstatistiken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Detailliert mit KI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alpha(items, check.keys=TRUE)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Split-Half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splitHalf(items)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Test-Retest (Pearson/spearman Korrelation)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cor.test(t1_score, t2_score, method="pearson")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Reliabilitaet: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pingouin import cronbach_alpha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Daten: Items als Spalten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alpha, ci = cronbach_alpha(data)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print(f"Alpha = {alpha:.3f}, 95% CI [{ci[0]:.3f}, {ci[1]:.3f}]")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Split-Half manuell (gerade/ungerade)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half1 = data.iloc[:, ::2].sum(axis=1)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half2 = data.iloc[:, 1::2].sum(axis=1)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pearsonr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r_half = pearsonr(half1, half2)[0]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r_full = 2 * r_half / (1 + r_half) # Spearman-Brown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 /SCALE(All) ALL /MODEL=ALPHA /STATISTICS=DESCRIPTIVE SCALE CORR /SUMMARY=TOTAL.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Grenzen von Cronbachs Alpha</w:t>
      </w:r>
    </w:p>
    <w:p>
      <w:pPr>
        <w:spacing w:before="40" w:after="80"/>
      </w:pPr>
      <w:r>
        <w:rPr>
          <w:rFonts w:ascii="Calibri" w:hAnsi="Calibri"/>
          <w:sz w:val="19"/>
        </w:rPr>
        <w:t>Alpha setzt essentielle tau-Aequivalenz voraus (alle Items laden gleich stark auf dem wahren Faktor). Bei verletzter Annahme (z. B. bei faktoriell komplexen Skalen) ist Alpha zu niedrig. Bessere Alternative: McDonalds Omega (omega_total) aus der Faktorenanalyse.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McDonalds Omega</w:t>
      </w:r>
    </w:p>
    <w:p>
      <w:pPr>
        <w:spacing w:before="40" w:after="80"/>
      </w:pPr>
      <w:r>
        <w:rPr>
          <w:rFonts w:ascii="Calibri" w:hAnsi="Calibri"/>
          <w:sz w:val="19"/>
        </w:rPr>
        <w:t>Basiert auf der Faktorenladungsmatrix. Omega = 1 - (sum(1-h^2) / Var_ges). h^2 = Kommunalitaet. Ist robuster als Alpha bei verletzter tau-Aequivalenz. In R: omega(items) aus dem psych-Paket.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Interrater-Reliabilitaet</w:t>
      </w:r>
    </w:p>
    <w:p>
      <w:pPr>
        <w:spacing w:before="40" w:after="80"/>
      </w:pPr>
      <w:r>
        <w:rPr>
          <w:rFonts w:ascii="Calibri" w:hAnsi="Calibri"/>
          <w:sz w:val="19"/>
        </w:rPr>
        <w:t>Fuer Beobachterübereinstimmung: Cohens Kappa (2 Rater, nominal), ICC (Intraklassenkorrelation, metrisch), Fleiss Kappa (&gt;2 Rater). Anwendung: Diagnostische Einschaetzungen, Verhaltenscodierung, Inhaltsanalyse.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Itemanalyse-Kennwerte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Itemschwierigkeit: p = Mittelwert / max. Punktzahl (0-1). Ideal: 0,2-0,8.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Trennschaerfe: r_it = Korrelation Item mit Gesamtscore. Ideal: &gt; 0,3.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Alpha-wenn-Item-geloescht: Zeigt ob Item die Skala verbessert.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 neuer Aengstlichkeitsfragebogen (10 Items, n=100) ergibt Alpha = 0,72. Die Tabelle "Alpha wenn Item geloescht" zeigt fuer Item 4 einen Wert von 0,78. a) Interpretiere. b) Sollte Item 4 entfernt werden? c) Welche Konsequenz hat das fuer die Inhaltsvaliditaet?</w:t>
      </w:r>
    </w:p>
    <w:p>
      <w:pPr>
        <w:spacing w:before="40" w:after="80"/>
      </w:pPr>
      <w:r>
        <w:rPr>
          <w:rFonts w:ascii="Calibri" w:hAnsi="Calibri"/>
          <w:sz w:val="19"/>
        </w:rPr>
        <w:t>Aufgabe 2: Test-Retest einer motorischen Leistungsskala ergibt r=0,95 bei 1 Tag Abstand, r=0,68 bei 4 Wochen Abstand. a) Wie interpretierst du den Unterschied? b) Welcher Wert ist die "wahre" Reliabilitaet?</w:t>
      </w:r>
    </w:p>
    <w:p>
      <w:pPr>
        <w:spacing w:before="40" w:after="80"/>
      </w:pPr>
      <w:r>
        <w:rPr>
          <w:rFonts w:ascii="Calibri" w:hAnsi="Calibri"/>
          <w:sz w:val="19"/>
        </w:rPr>
        <w:t>Aufgabe 3: Du hast einen 20-Item-Test. Split-Half (gerade/ungerade) ergibt r=0,70. a) Berechne die Spearman-Brown-korrigierte Reliabilitaet. b) Warum ist die Korrektur notwendig?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