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Survey-Design und Fragebogenkonstruktion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Forschungsdesign, Planung und Integration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Überblick Survey-Design</w:t>
      </w:r>
    </w:p>
    <w:p>
      <w:pPr>
        <w:spacing w:after="80"/>
      </w:pPr>
      <w:r>
        <w:rPr>
          <w:rFonts w:ascii="Calibri" w:hAnsi="Calibri"/>
          <w:sz w:val="19"/>
        </w:rPr>
        <w:t>Wie viele Leute in Deutschland sind mit der Demokratie zufrieden? Um das</w:t>
      </w:r>
    </w:p>
    <w:p>
      <w:pPr>
        <w:spacing w:after="80"/>
      </w:pPr>
      <w:r>
        <w:rPr>
          <w:rFonts w:ascii="Calibri" w:hAnsi="Calibri"/>
          <w:sz w:val="19"/>
        </w:rPr>
        <w:t>rauszufinden, fragst du nicht alle 84 Millionen, sondern eine Stichprobe – mit</w:t>
      </w:r>
    </w:p>
    <w:p>
      <w:pPr>
        <w:spacing w:after="80"/>
      </w:pPr>
      <w:r>
        <w:rPr>
          <w:rFonts w:ascii="Calibri" w:hAnsi="Calibri"/>
          <w:sz w:val="19"/>
        </w:rPr>
        <w:t>einem standardisierten Fragebogen. Das ist ein Survey. Klingt einfach, aber der</w:t>
      </w:r>
    </w:p>
    <w:p>
      <w:pPr>
        <w:spacing w:after="80"/>
      </w:pPr>
      <w:r>
        <w:rPr>
          <w:rFonts w:ascii="Calibri" w:hAnsi="Calibri"/>
          <w:sz w:val="19"/>
        </w:rPr>
        <w:t>Teufel steckt im Detail: Wer wird nicht erreicht? Wer antwortet nicht? Messen</w:t>
      </w:r>
    </w:p>
    <w:p>
      <w:pPr>
        <w:spacing w:after="80"/>
      </w:pPr>
      <w:r>
        <w:rPr>
          <w:rFonts w:ascii="Calibri" w:hAnsi="Calibri"/>
          <w:sz w:val="19"/>
        </w:rPr>
        <w:t>die Fragen wirklich, was sie sollen?</w:t>
      </w:r>
    </w:p>
    <w:p/>
    <w:p>
      <w:pPr>
        <w:spacing w:after="80"/>
      </w:pPr>
      <w:r>
        <w:rPr>
          <w:rFonts w:ascii="Calibri" w:hAnsi="Calibri"/>
          <w:sz w:val="19"/>
        </w:rPr>
        <w:t>Querschnitt vs. Längsschnitt. Postalisch, telefonisch, online oder persönlich.</w:t>
      </w:r>
    </w:p>
    <w:p>
      <w:pPr>
        <w:spacing w:after="80"/>
      </w:pPr>
      <w:r>
        <w:rPr>
          <w:rFonts w:ascii="Calibri" w:hAnsi="Calibri"/>
          <w:sz w:val="19"/>
        </w:rPr>
        <w:t>Total Survey Error (Groves): Der Gesamtfehler setzt sich aus Stichprobenfehler,</w:t>
      </w:r>
    </w:p>
    <w:p>
      <w:pPr>
        <w:spacing w:after="80"/>
      </w:pPr>
      <w:r>
        <w:rPr>
          <w:rFonts w:ascii="Calibri" w:hAnsi="Calibri"/>
          <w:sz w:val="19"/>
        </w:rPr>
        <w:t>Coverage Error, Nonresponse und Messfehler zusammen.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Fragebogenkonstruktion</w:t>
      </w:r>
    </w:p>
    <w:p>
      <w:pPr>
        <w:spacing w:after="80"/>
      </w:pPr>
      <w:r>
        <w:rPr>
          <w:rFonts w:ascii="Calibri" w:hAnsi="Calibri"/>
          <w:sz w:val="19"/>
        </w:rPr>
        <w:t>Grundregeln: Einfach, kurz, eindeutig. Keine doppelten Verneinungen. Keine suggestiven Fragen. Keine doppellaeufigen Fragen (double-barreled: 'Wie zufrieden sind Sie mit Gehalt und Arbeitszeiten?').</w:t>
      </w:r>
    </w:p>
    <w:p>
      <w:pPr>
        <w:spacing w:after="80"/>
      </w:pPr>
      <w:r>
        <w:rPr>
          <w:rFonts w:ascii="Calibri" w:hAnsi="Calibri"/>
          <w:sz w:val="19"/>
        </w:rPr>
        <w:t>Skalen: Likert (1-5 oder 1-7): 'Stimme voll zu' - 'Stimme gar nicht zu.'</w:t>
      </w:r>
    </w:p>
    <w:p>
      <w:pPr>
        <w:spacing w:after="80"/>
      </w:pPr>
      <w:r>
        <w:rPr>
          <w:rFonts w:ascii="Calibri" w:hAnsi="Calibri"/>
          <w:sz w:val="19"/>
        </w:rPr>
        <w:t>Semantisches Differential: Gegensatzpaare (gut - schlecht, warm - kalt), 7-stufig.</w:t>
      </w:r>
    </w:p>
    <w:p>
      <w:pPr>
        <w:spacing w:after="80"/>
      </w:pPr>
      <w:r>
        <w:rPr>
          <w:rFonts w:ascii="Calibri" w:hAnsi="Calibri"/>
          <w:sz w:val="19"/>
        </w:rPr>
        <w:t>Visuelle Analogskala (VAS): kontinuierliche Linie (0-100).</w:t>
      </w:r>
    </w:p>
    <w:p>
      <w:pPr>
        <w:spacing w:after="80"/>
      </w:pPr>
      <w:r>
        <w:rPr>
          <w:rFonts w:ascii="Calibri" w:hAnsi="Calibri"/>
          <w:sz w:val="19"/>
        </w:rPr>
        <w:t>Item-Polung: Wechsel zwischen positiv und negativ formulierten Items (Akquieszenz vermeiden).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Fragebogenlayout und Online-Umsetzung</w:t>
      </w:r>
    </w:p>
    <w:p>
      <w:pPr>
        <w:spacing w:after="80"/>
      </w:pPr>
      <w:r>
        <w:rPr>
          <w:rFonts w:ascii="Calibri" w:hAnsi="Calibri"/>
          <w:sz w:val="19"/>
        </w:rPr>
        <w:t>Übersichtlich: Klare visuelle Trennung der Fragen. Fortschrittsbalken.</w:t>
      </w:r>
    </w:p>
    <w:p>
      <w:pPr>
        <w:spacing w:after="80"/>
      </w:pPr>
      <w:r>
        <w:rPr>
          <w:rFonts w:ascii="Calibri" w:hAnsi="Calibri"/>
          <w:sz w:val="19"/>
        </w:rPr>
        <w:t>Mobile Optimierung: Fragen nicht nebeneinander, großere Buttons.</w:t>
      </w:r>
    </w:p>
    <w:p>
      <w:pPr>
        <w:spacing w:after="80"/>
      </w:pPr>
      <w:r>
        <w:rPr>
          <w:rFonts w:ascii="Calibri" w:hAnsi="Calibri"/>
          <w:sz w:val="19"/>
        </w:rPr>
        <w:t>Abbruchquote senken: Nicht zu viele offene Fragen, nicht zu lang (15-20 Min.), Incentives.</w:t>
      </w:r>
    </w:p>
    <w:p>
      <w:pPr>
        <w:spacing w:after="80"/>
      </w:pPr>
      <w:r>
        <w:rPr>
          <w:rFonts w:ascii="Calibri" w:hAnsi="Calibri"/>
          <w:sz w:val="19"/>
        </w:rPr>
        <w:t>Tools: SoSci Survey (DSGVO-konform, deutsch), LimeSurvey (Open Source), Unipark (kommerziell, Hochschullizenz), Qualtrics (international).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Messfehler und Antwortverzerrungen</w:t>
      </w:r>
    </w:p>
    <w:p>
      <w:pPr>
        <w:spacing w:after="80"/>
      </w:pPr>
      <w:r>
        <w:rPr>
          <w:rFonts w:ascii="Calibri" w:hAnsi="Calibri"/>
          <w:sz w:val="19"/>
        </w:rPr>
        <w:t>Soziale Erwünschtheit: Antworten in gesellschaftlich erwünschter Richtung. Erkennung: Soziale-Erwünschtheits-Skala (SES-17). Massnahme: Anonymisierung, indirekte Fragen, Item-Formulierung neutral.</w:t>
      </w:r>
    </w:p>
    <w:p>
      <w:pPr>
        <w:spacing w:after="80"/>
      </w:pPr>
      <w:r>
        <w:rPr>
          <w:rFonts w:ascii="Calibri" w:hAnsi="Calibri"/>
          <w:sz w:val="19"/>
        </w:rPr>
        <w:t>Akquieszenz (Ja-Sage-Tendenz): unabhängig vom Inhalt zustimmen. Massnahme: balanced items (positive + negative).</w:t>
      </w:r>
    </w:p>
    <w:p>
      <w:pPr>
        <w:spacing w:after="80"/>
      </w:pPr>
      <w:r>
        <w:rPr>
          <w:rFonts w:ascii="Calibri" w:hAnsi="Calibri"/>
          <w:sz w:val="19"/>
        </w:rPr>
        <w:t>Extreme Response Style: Nur die Endpunkte nutzen. Massnahme: mehr Kategorien, erzwungene Wahl.</w:t>
      </w:r>
    </w:p>
    <w:p>
      <w:pPr>
        <w:spacing w:after="80"/>
      </w:pPr>
      <w:r>
        <w:rPr>
          <w:rFonts w:ascii="Calibri" w:hAnsi="Calibri"/>
          <w:sz w:val="19"/>
        </w:rPr>
        <w:t>Primacy/Recency-Effekt: Erste/letzte Antwortkategorie überdurchschnittlich gewaehlt. Massnahme: Randomisierung der Antwortoptionen.</w:t>
      </w:r>
    </w:p>
    <w:p>
      <w:pPr>
        <w:spacing w:after="80"/>
      </w:pPr>
      <w:r>
        <w:rPr>
          <w:rFonts w:ascii="Calibri" w:hAnsi="Calibri"/>
          <w:sz w:val="19"/>
        </w:rPr>
        <w:t>Mittelkategorie-Tendenz: 'Weder noch' häufig gewaehlt. Massnahme: forced choice (Mittelkt weg lassen) oder explizit anbieten.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Pretest und Pilotierung</w:t>
      </w:r>
    </w:p>
    <w:p>
      <w:pPr>
        <w:spacing w:after="80"/>
      </w:pPr>
      <w:r>
        <w:rPr>
          <w:rFonts w:ascii="Calibri" w:hAnsi="Calibri"/>
          <w:sz w:val="19"/>
        </w:rPr>
        <w:t>Kognitiver Pretest: Testpersonen werden befragt, wie sie die Fragen verstehen. Think-Aloud-Protokolle.</w:t>
      </w:r>
    </w:p>
    <w:p>
      <w:pPr>
        <w:spacing w:after="80"/>
      </w:pPr>
      <w:r>
        <w:rPr>
          <w:rFonts w:ascii="Calibri" w:hAnsi="Calibri"/>
          <w:sz w:val="19"/>
        </w:rPr>
        <w:t>Pilotstudie: Komplette Trockenübung mit n=50-100. Analyse: Itemkennwerte, Antwortverteilungen, fehlende Werte.</w:t>
      </w:r>
    </w:p>
    <w:p>
      <w:pPr>
        <w:spacing w:after="80"/>
      </w:pPr>
      <w:r>
        <w:rPr>
          <w:rFonts w:ascii="Calibri" w:hAnsi="Calibri"/>
          <w:sz w:val="19"/>
        </w:rPr>
        <w:t>Itemanalyse (klassisch): Schwierigkeit, Trennschaerfe, Reliabilität (Cronbachs Alpha).</w:t>
      </w:r>
    </w:p>
    <w:p>
      <w:pPr>
        <w:spacing w:after="80"/>
      </w:pPr>
      <w:r>
        <w:rPr>
          <w:rFonts w:ascii="Calibri" w:hAnsi="Calibri"/>
          <w:sz w:val="19"/>
        </w:rPr>
        <w:t>Revision: Fragen mit hohen Ausfallraten, schlechter Trennschaerfe, schiefen Verteilungen überarbeiten.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Survey-Design und Fragebogenkonstruktion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