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4213D"/>
          <w:sz w:val="32"/>
        </w:rPr>
        <w:t>Exam: Survey Design</w:t>
      </w:r>
    </w:p>
    <w:p>
      <w:pPr>
        <w:jc w:val="center"/>
      </w:pPr>
      <w:r>
        <w:rPr>
          <w:rFonts w:ascii="Calibri" w:hAnsi="Calibri"/>
          <w:i/>
          <w:color w:val="4F6D8A"/>
          <w:sz w:val="20"/>
        </w:rPr>
        <w:t>Multiple Choice (Single Select) - 4 Answer Options</w:t>
      </w:r>
    </w:p>
    <w:p/>
    <w:p>
      <w:pPr>
        <w:spacing w:before="200"/>
      </w:pPr>
      <w:r>
        <w:rPr>
          <w:rFonts w:ascii="Calibri" w:hAnsi="Calibri"/>
          <w:b/>
          <w:sz w:val="20"/>
        </w:rPr>
        <w:t>1. What is a survey?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A) A standardized survey of a sample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B) A qualitative interview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C) An observation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D) An experiment</w:t>
      </w:r>
    </w:p>
    <w:p>
      <w:pPr>
        <w:spacing w:before="200"/>
      </w:pPr>
      <w:r>
        <w:rPr>
          <w:rFonts w:ascii="Calibri" w:hAnsi="Calibri"/>
          <w:b/>
          <w:sz w:val="20"/>
        </w:rPr>
        <w:t>2. What does Total Survey Error (Groves) mean?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A) The total study error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B) Total error = sampling + coverage + nonresponse + measurement error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C) Sampling error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D) Measurement error</w:t>
      </w:r>
    </w:p>
    <w:p>
      <w:pPr>
        <w:spacing w:before="200"/>
      </w:pPr>
      <w:r>
        <w:rPr>
          <w:rFonts w:ascii="Calibri" w:hAnsi="Calibri"/>
          <w:b/>
          <w:sz w:val="20"/>
        </w:rPr>
        <w:t>3. What is a double-barreled question?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A) A self-contradicting question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B) A question with two aspects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C) A question with two answer options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D) A question asked twice</w:t>
      </w:r>
    </w:p>
    <w:p>
      <w:pPr>
        <w:spacing w:before="200"/>
      </w:pPr>
      <w:r>
        <w:rPr>
          <w:rFonts w:ascii="Calibri" w:hAnsi="Calibri"/>
          <w:b/>
          <w:sz w:val="20"/>
        </w:rPr>
        <w:t>4. What is acquiescence?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A) Choosing the middle category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B) Tendency to disagree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C) Extreme responses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D) Tendency to agree regardless of content</w:t>
      </w:r>
    </w:p>
    <w:p>
      <w:pPr>
        <w:spacing w:before="200"/>
      </w:pPr>
      <w:r>
        <w:rPr>
          <w:rFonts w:ascii="Calibri" w:hAnsi="Calibri"/>
          <w:b/>
          <w:sz w:val="20"/>
        </w:rPr>
        <w:t>5. What is social desirability?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A) Random answers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B) No answers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C) Answering in a socially desirable direction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D) Honest answers</w:t>
      </w:r>
    </w:p>
    <w:p>
      <w:pPr>
        <w:spacing w:before="200"/>
      </w:pPr>
      <w:r>
        <w:rPr>
          <w:rFonts w:ascii="Calibri" w:hAnsi="Calibri"/>
          <w:b/>
          <w:sz w:val="20"/>
        </w:rPr>
        <w:t>6. What is the purpose of a cognitive pretest?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A) Analyzing data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B) Printing the questionnaire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C) Drawing the sample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D) Checking question comprehension with test persons</w:t>
      </w:r>
    </w:p>
    <w:p>
      <w:pPr>
        <w:spacing w:before="200"/>
      </w:pPr>
      <w:r>
        <w:rPr>
          <w:rFonts w:ascii="Calibri" w:hAnsi="Calibri"/>
          <w:b/>
          <w:sz w:val="20"/>
        </w:rPr>
        <w:t>7. Which tool is GDPR-compliant and German?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A) SurveyMonkey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B) SoSci Survey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C) Qualtrics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D) Google Forms</w:t>
      </w:r>
    </w:p>
    <w:p>
      <w:pPr>
        <w:spacing w:before="200"/>
      </w:pPr>
      <w:r>
        <w:rPr>
          <w:rFonts w:ascii="Calibri" w:hAnsi="Calibri"/>
          <w:b/>
          <w:sz w:val="20"/>
        </w:rPr>
        <w:t>8. What does primacy effect mean?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A) Last option is chosen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B) Random selection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C) Middle category is chosen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D) First option is chosen disproportionately often</w:t>
      </w:r>
    </w:p>
    <w:p>
      <w:r>
        <w:br w:type="page"/>
      </w:r>
    </w:p>
    <w:p>
      <w:pPr>
        <w:jc w:val="center"/>
      </w:pPr>
      <w:r>
        <w:rPr>
          <w:rFonts w:ascii="Calibri" w:hAnsi="Calibri"/>
          <w:b/>
          <w:color w:val="14213D"/>
          <w:sz w:val="32"/>
        </w:rPr>
        <w:t>Solutions</w:t>
      </w:r>
    </w:p>
    <w:p/>
    <w:p>
      <w:pPr>
        <w:ind w:left="567"/>
      </w:pPr>
      <w:r>
        <w:rPr>
          <w:rFonts w:ascii="Calibri" w:hAnsi="Calibri"/>
          <w:b/>
          <w:color w:val="14213D"/>
          <w:sz w:val="19"/>
        </w:rPr>
        <w:t xml:space="preserve">1: A</w:t>
      </w:r>
    </w:p>
    <w:p>
      <w:pPr>
        <w:ind w:left="567"/>
      </w:pPr>
      <w:r>
        <w:rPr>
          <w:rFonts w:ascii="Calibri" w:hAnsi="Calibri"/>
          <w:b/>
          <w:color w:val="14213D"/>
          <w:sz w:val="19"/>
        </w:rPr>
        <w:t xml:space="preserve">2: B</w:t>
      </w:r>
    </w:p>
    <w:p>
      <w:pPr>
        <w:ind w:left="567"/>
      </w:pPr>
      <w:r>
        <w:rPr>
          <w:rFonts w:ascii="Calibri" w:hAnsi="Calibri"/>
          <w:b/>
          <w:color w:val="14213D"/>
          <w:sz w:val="19"/>
        </w:rPr>
        <w:t xml:space="preserve">3: B</w:t>
      </w:r>
    </w:p>
    <w:p>
      <w:pPr>
        <w:ind w:left="567"/>
      </w:pPr>
      <w:r>
        <w:rPr>
          <w:rFonts w:ascii="Calibri" w:hAnsi="Calibri"/>
          <w:b/>
          <w:color w:val="14213D"/>
          <w:sz w:val="19"/>
        </w:rPr>
        <w:t xml:space="preserve">4: D</w:t>
      </w:r>
    </w:p>
    <w:p>
      <w:pPr>
        <w:ind w:left="567"/>
      </w:pPr>
      <w:r>
        <w:rPr>
          <w:rFonts w:ascii="Calibri" w:hAnsi="Calibri"/>
          <w:b/>
          <w:color w:val="14213D"/>
          <w:sz w:val="19"/>
        </w:rPr>
        <w:t xml:space="preserve">5: C</w:t>
      </w:r>
    </w:p>
    <w:p>
      <w:pPr>
        <w:ind w:left="567"/>
      </w:pPr>
      <w:r>
        <w:rPr>
          <w:rFonts w:ascii="Calibri" w:hAnsi="Calibri"/>
          <w:b/>
          <w:color w:val="14213D"/>
          <w:sz w:val="19"/>
        </w:rPr>
        <w:t xml:space="preserve">6: D</w:t>
      </w:r>
    </w:p>
    <w:p>
      <w:pPr>
        <w:ind w:left="567"/>
      </w:pPr>
      <w:r>
        <w:rPr>
          <w:rFonts w:ascii="Calibri" w:hAnsi="Calibri"/>
          <w:b/>
          <w:color w:val="14213D"/>
          <w:sz w:val="19"/>
        </w:rPr>
        <w:t xml:space="preserve">7: B</w:t>
      </w:r>
    </w:p>
    <w:p>
      <w:pPr>
        <w:ind w:left="567"/>
      </w:pPr>
      <w:r>
        <w:rPr>
          <w:rFonts w:ascii="Calibri" w:hAnsi="Calibri"/>
          <w:b/>
          <w:color w:val="14213D"/>
          <w:sz w:val="19"/>
        </w:rPr>
        <w:t xml:space="preserve">8: 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56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sz w:val="14"/>
        <w:szCs w:val="14"/>
        <w:rFonts w:ascii="Calibri" w:hAnsi="Calibri"/>
      </w:rPr>
      <w:t xml:space="preserve">Kevin Glock Statistical Consulting Services | GSC Services · www.kevinglock.de</w:t>
    </w:r>
    <w:r>
      <w:rPr>
        <w:sz w:val="18"/>
        <w:szCs w:val="18"/>
        <w:rFonts w:ascii="Cambria" w:hAnsi="Cambria"/>
      </w:rPr>
      <w:t xml:space="preserve"> | Seite </w:t>
    </w:r>
    <w:r>
      <w:rPr>
        <w:sz w:val="18"/>
        <w:szCs w:val="18"/>
        <w:rFonts w:ascii="Cambria" w:hAnsi="Cambria"/>
      </w:rPr>
      <w:fldChar w:fldCharType="begin"/>
    </w:r>
    <w:r>
      <w:rPr>
        <w:sz w:val="18"/>
        <w:szCs w:val="18"/>
        <w:rFonts w:ascii="Cambria" w:hAnsi="Cambria"/>
      </w:rPr>
      <w:instrText xml:space="preserve"> PAGE </w:instrText>
    </w:r>
    <w:r>
      <w:rPr>
        <w:sz w:val="18"/>
        <w:szCs w:val="18"/>
        <w:rFonts w:ascii="Cambria" w:hAnsi="Cambria"/>
      </w:rPr>
      <w:fldChar w:fldCharType="separate"/>
    </w:r>
    <w:r>
      <w:rPr>
        <w:sz w:val="18"/>
        <w:szCs w:val="18"/>
        <w:rFonts w:ascii="Cambria" w:hAnsi="Cambria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7285"/>
      <w:gridCol w:w="7285"/>
    </w:tblGrid>
    <w:tr>
      <w:tc>
        <w:tcPr>
          <w:tcW w:type="dxa" w:w="1701"/>
          <w:tcBorders>
            <w:top w:val="nil"/>
            <w:left w:val="nil"/>
            <w:bottom w:val="nil"/>
            <w:right w:val="nil"/>
          </w:tcBorders>
        </w:tcPr>
        <w:p>
          <w:r/>
          <w:r>
            <w:drawing>
              <wp:inline xmlns:a="http://schemas.openxmlformats.org/drawingml/2006/main" xmlns:pic="http://schemas.openxmlformats.org/drawingml/2006/picture">
                <wp:extent cx="1008000" cy="2016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compact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7999" cy="2016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12869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  <w:spacing w:after="0" w:line="240" w:lineRule="auto"/>
          </w:pPr>
          <w:r>
            <w:rPr>
              <w:b/>
              <w:sz w:val="18"/>
              <w:szCs w:val="18"/>
              <w:rFonts w:ascii="Calibri" w:hAnsi="Calibri"/>
              <w:color w:val="14213D"/>
            </w:rPr>
            <w:t xml:space="preserve">Kevin Glock Statistical Consulting Services | GSC Services</w:t>
          </w:r>
        </w:p>
        <w:p>
          <w:pPr>
            <w:jc w:val="right"/>
          </w:pPr>
          <w:r>
            <w:rPr>
              <w:sz w:val="17"/>
              <w:szCs w:val="17"/>
              <w:rFonts w:ascii="Calibri" w:hAnsi="Calibri"/>
              <w:color w:val="4F6D8A"/>
            </w:rPr>
            <w:t xml:space="preserve">Exam: Survey Design</w:t>
          </w:r>
        </w:p>
      </w:tc>
    </w:tr>
  </w:tbl>
  <w:p>
    <w:pPr>
      <w:spacing w:before="0" w:after="80"/>
    </w:pPr>
    <w:r>
      <w:rPr>
        <w:color w:val="FF6600"/>
        <w:sz w:val="8"/>
      </w:rPr>
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