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Survey Design and Questionnaire Construction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Survey Design Overview</w:t>
      </w:r>
    </w:p>
    <w:p>
      <w:pPr>
        <w:spacing w:after="80"/>
      </w:pPr>
      <w:r>
        <w:rPr>
          <w:rFonts w:ascii="Calibri" w:hAnsi="Calibri"/>
          <w:sz w:val="19"/>
        </w:rPr>
        <w:t>Survey = standardized survey of a sample to draw inferences about a population.</w:t>
      </w:r>
    </w:p>
    <w:p>
      <w:pPr>
        <w:spacing w:after="80"/>
      </w:pPr>
      <w:r>
        <w:rPr>
          <w:rFonts w:ascii="Calibri" w:hAnsi="Calibri"/>
          <w:sz w:val="19"/>
        </w:rPr>
        <w:t>Cross-sectional vs. longitudinal (panel, trend). Postal, telephone, online, face-to-face.</w:t>
      </w:r>
    </w:p>
    <w:p>
      <w:pPr>
        <w:spacing w:after="80"/>
      </w:pPr>
      <w:r>
        <w:rPr>
          <w:rFonts w:ascii="Calibri" w:hAnsi="Calibri"/>
          <w:sz w:val="19"/>
        </w:rPr>
        <w:t>Total Survey Error (Groves 2004): Sampling + coverage + nonresponse + measurement error.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Questionnaire Construction</w:t>
      </w:r>
    </w:p>
    <w:p>
      <w:pPr>
        <w:spacing w:after="80"/>
      </w:pPr>
      <w:r>
        <w:rPr>
          <w:rFonts w:ascii="Calibri" w:hAnsi="Calibri"/>
          <w:sz w:val="19"/>
        </w:rPr>
        <w:t>Basic rules: Simple, short, unambiguous. No double negatives. No suggestive questions. No double-barreled items.</w:t>
      </w:r>
    </w:p>
    <w:p>
      <w:pPr>
        <w:spacing w:after="80"/>
      </w:pPr>
      <w:r>
        <w:rPr>
          <w:rFonts w:ascii="Calibri" w:hAnsi="Calibri"/>
          <w:sz w:val="19"/>
        </w:rPr>
        <w:t>Scales: Likert (1-5 or 1-7), semantic differential, visual analog scale.</w:t>
      </w:r>
    </w:p>
    <w:p>
      <w:pPr>
        <w:spacing w:after="80"/>
      </w:pPr>
      <w:r>
        <w:rPr>
          <w:rFonts w:ascii="Calibri" w:hAnsi="Calibri"/>
          <w:sz w:val="19"/>
        </w:rPr>
        <w:t>Item polarity: Alternate positive and negative items (avoid acquiescence).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Measurement Error and Response Biases</w:t>
      </w:r>
    </w:p>
    <w:p>
      <w:pPr>
        <w:spacing w:after="80"/>
      </w:pPr>
      <w:r>
        <w:rPr>
          <w:rFonts w:ascii="Calibri" w:hAnsi="Calibri"/>
          <w:sz w:val="19"/>
        </w:rPr>
        <w:t>Social desirability: Answering in socially approved direction. Mitigation: anonymity, neutral wording.</w:t>
      </w:r>
    </w:p>
    <w:p>
      <w:pPr>
        <w:spacing w:after="80"/>
      </w:pPr>
      <w:r>
        <w:rPr>
          <w:rFonts w:ascii="Calibri" w:hAnsi="Calibri"/>
          <w:sz w:val="19"/>
        </w:rPr>
        <w:t>Acquiescence: Agreement tendency regardless of content. Mitigation: balanced items.</w:t>
      </w:r>
    </w:p>
    <w:p>
      <w:pPr>
        <w:spacing w:after="80"/>
      </w:pPr>
      <w:r>
        <w:rPr>
          <w:rFonts w:ascii="Calibri" w:hAnsi="Calibri"/>
          <w:sz w:val="19"/>
        </w:rPr>
        <w:t>Extreme response style: Using only endpoints. Mitigation: more categories, forced choice.</w:t>
      </w:r>
    </w:p>
    <w:p>
      <w:pPr>
        <w:spacing w:after="80"/>
      </w:pPr>
      <w:r>
        <w:rPr>
          <w:rFonts w:ascii="Calibri" w:hAnsi="Calibri"/>
          <w:sz w:val="19"/>
        </w:rPr>
        <w:t>Primacy/recency effect: First/last option chosen disproportionately.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Pretest and Pilot Study</w:t>
      </w:r>
    </w:p>
    <w:p>
      <w:pPr>
        <w:spacing w:after="80"/>
      </w:pPr>
      <w:r>
        <w:rPr>
          <w:rFonts w:ascii="Calibri" w:hAnsi="Calibri"/>
          <w:sz w:val="19"/>
        </w:rPr>
        <w:t>Cognitive pretest: Test persons asked how they understand questions. Think-aloud protocols.</w:t>
      </w:r>
    </w:p>
    <w:p>
      <w:pPr>
        <w:spacing w:after="80"/>
      </w:pPr>
      <w:r>
        <w:rPr>
          <w:rFonts w:ascii="Calibri" w:hAnsi="Calibri"/>
          <w:sz w:val="19"/>
        </w:rPr>
        <w:t>Pilot study: Complete dry run with n=50-100. Item analysis: difficulty, discrimination, reliability.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Survey Design and Questionnaire Construction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