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4213D"/>
          <w:sz w:val="32"/>
        </w:rPr>
        <w:t>Exam: Qualitative Methods: Overview</w:t>
      </w:r>
    </w:p>
    <w:p>
      <w:pPr>
        <w:jc w:val="center"/>
      </w:pPr>
      <w:r>
        <w:rPr>
          <w:rFonts w:ascii="Calibri" w:hAnsi="Calibri"/>
          <w:i/>
          <w:color w:val="4F6D8A"/>
          <w:sz w:val="20"/>
        </w:rPr>
        <w:t>Multiple Choice (Single Select) - 4 Answer Options</w:t>
      </w:r>
    </w:p>
    <w:p/>
    <w:p>
      <w:pPr>
        <w:spacing w:before="200"/>
      </w:pPr>
      <w:r>
        <w:rPr>
          <w:rFonts w:ascii="Calibri" w:hAnsi="Calibri"/>
          <w:b/>
          <w:sz w:val="20"/>
        </w:rPr>
        <w:t>1. What is the main goal of qualitative research?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Counting and measuring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Understanding meaning and reconstructing action orientations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Generalizable statements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Hypothesis testing</w:t>
      </w:r>
    </w:p>
    <w:p>
      <w:pPr>
        <w:spacing w:before="200"/>
      </w:pPr>
      <w:r>
        <w:rPr>
          <w:rFonts w:ascii="Calibri" w:hAnsi="Calibri"/>
          <w:b/>
          <w:sz w:val="20"/>
        </w:rPr>
        <w:t>2. What does the principle of openness mean?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All data are welcome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The researcher is neutral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No rigid hypotheses before data collection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Results are open</w:t>
      </w:r>
    </w:p>
    <w:p>
      <w:pPr>
        <w:spacing w:before="200"/>
      </w:pPr>
      <w:r>
        <w:rPr>
          <w:rFonts w:ascii="Calibri" w:hAnsi="Calibri"/>
          <w:b/>
          <w:sz w:val="20"/>
        </w:rPr>
        <w:t>3. What is an important quality criterion in qualitative research?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R-squared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Effect size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Procedural documentation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p-value</w:t>
      </w:r>
    </w:p>
    <w:p>
      <w:pPr>
        <w:spacing w:before="200"/>
      </w:pPr>
      <w:r>
        <w:rPr>
          <w:rFonts w:ascii="Calibri" w:hAnsi="Calibri"/>
          <w:b/>
          <w:sz w:val="20"/>
        </w:rPr>
        <w:t>4. What does communicative validation mean?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Statistics are checked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The theory is confirmed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The researcher validates alone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Results are presented to the respondents</w:t>
      </w:r>
    </w:p>
    <w:p>
      <w:pPr>
        <w:spacing w:before="200"/>
      </w:pPr>
      <w:r>
        <w:rPr>
          <w:rFonts w:ascii="Calibri" w:hAnsi="Calibri"/>
          <w:b/>
          <w:sz w:val="20"/>
        </w:rPr>
        <w:t>5. Which qualitative method aims at theory building?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Survey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Descriptive statistics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Grounded Theory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Experiment</w:t>
      </w:r>
    </w:p>
    <w:p>
      <w:pPr>
        <w:spacing w:before="200"/>
      </w:pPr>
      <w:r>
        <w:rPr>
          <w:rFonts w:ascii="Calibri" w:hAnsi="Calibri"/>
          <w:b/>
          <w:sz w:val="20"/>
        </w:rPr>
        <w:t>6. What is triangulation?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Combining multiple methods or perspectives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Testing three hypotheses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Using three researchers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Dividing data into triangles</w:t>
      </w:r>
    </w:p>
    <w:p>
      <w:pPr>
        <w:spacing w:before="200"/>
      </w:pPr>
      <w:r>
        <w:rPr>
          <w:rFonts w:ascii="Calibri" w:hAnsi="Calibri"/>
          <w:b/>
          <w:sz w:val="20"/>
        </w:rPr>
        <w:t>7. What distinguishes qualitative from quantitative research?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Quantitative is simpler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Qualitative is better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Qualitative works inductively, quantitative deductively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There is no difference</w:t>
      </w:r>
    </w:p>
    <w:p>
      <w:pPr>
        <w:spacing w:before="200"/>
      </w:pPr>
      <w:r>
        <w:rPr>
          <w:rFonts w:ascii="Calibri" w:hAnsi="Calibri"/>
          <w:b/>
          <w:sz w:val="20"/>
        </w:rPr>
        <w:t>8. What is typical qualitative sampling?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A) Census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B) Purposive sampling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C) Cluster sampling</w:t>
      </w:r>
    </w:p>
    <w:p>
      <w:pPr>
        <w:spacing w:after="40"/>
        <w:ind w:left="567"/>
      </w:pPr>
      <w:r>
        <w:rPr>
          <w:rFonts w:ascii="Calibri" w:hAnsi="Calibri"/>
          <w:sz w:val="19"/>
        </w:rPr>
        <w:t xml:space="preserve">D) Random sampling</w:t>
      </w:r>
    </w:p>
    <w:p>
      <w:r>
        <w:br w:type="page"/>
      </w:r>
    </w:p>
    <w:p>
      <w:pPr>
        <w:jc w:val="center"/>
      </w:pPr>
      <w:r>
        <w:rPr>
          <w:rFonts w:ascii="Calibri" w:hAnsi="Calibri"/>
          <w:b/>
          <w:color w:val="14213D"/>
          <w:sz w:val="32"/>
        </w:rPr>
        <w:t>Solutions</w:t>
      </w:r>
    </w:p>
    <w:p/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1: B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2: C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3: C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4: D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5: C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6: A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7: C</w:t>
      </w:r>
    </w:p>
    <w:p>
      <w:pPr>
        <w:ind w:left="567"/>
      </w:pPr>
      <w:r>
        <w:rPr>
          <w:rFonts w:ascii="Calibri" w:hAnsi="Calibri"/>
          <w:b/>
          <w:color w:val="14213D"/>
          <w:sz w:val="19"/>
        </w:rPr>
        <w:t xml:space="preserve">8: B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sz w:val="14"/>
        <w:szCs w:val="14"/>
        <w:rFonts w:ascii="Calibri" w:hAnsi="Calibri"/>
      </w:rPr>
      <w:t xml:space="preserve">Kevin Glock Statistical Consulting Services | GSC Services · www.kevinglock.de</w:t>
    </w:r>
    <w:r>
      <w:rPr>
        <w:sz w:val="18"/>
        <w:szCs w:val="18"/>
        <w:rFonts w:ascii="Cambria" w:hAnsi="Cambria"/>
      </w:rPr>
      <w:t xml:space="preserve"> | Seite </w:t>
    </w:r>
    <w:r>
      <w:rPr>
        <w:sz w:val="18"/>
        <w:szCs w:val="18"/>
        <w:rFonts w:ascii="Cambria" w:hAnsi="Cambria"/>
      </w:rPr>
      <w:fldChar w:fldCharType="begin"/>
    </w:r>
    <w:r>
      <w:rPr>
        <w:sz w:val="18"/>
        <w:szCs w:val="18"/>
        <w:rFonts w:ascii="Cambria" w:hAnsi="Cambria"/>
      </w:rPr>
      <w:instrText xml:space="preserve"> PAGE </w:instrText>
    </w:r>
    <w:r>
      <w:rPr>
        <w:sz w:val="18"/>
        <w:szCs w:val="18"/>
        <w:rFonts w:ascii="Cambria" w:hAnsi="Cambria"/>
      </w:rPr>
      <w:fldChar w:fldCharType="separate"/>
    </w:r>
    <w:r>
      <w:rPr>
        <w:sz w:val="18"/>
        <w:szCs w:val="18"/>
        <w:rFonts w:ascii="Cambria" w:hAnsi="Cambria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7285"/>
      <w:gridCol w:w="7285"/>
    </w:tblGrid>
    <w:tr>
      <w:tc>
        <w:tcPr>
          <w:tcW w:type="dxa" w:w="1701"/>
          <w:tcBorders>
            <w:top w:val="nil"/>
            <w:left w:val="nil"/>
            <w:bottom w:val="nil"/>
            <w:right w:val="nil"/>
          </w:tcBorders>
        </w:tcPr>
        <w:p>
          <w:r/>
          <w:r>
            <w:drawing>
              <wp:inline xmlns:a="http://schemas.openxmlformats.org/drawingml/2006/main" xmlns:pic="http://schemas.openxmlformats.org/drawingml/2006/picture">
                <wp:extent cx="1008000" cy="2016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compac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2869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  <w:spacing w:after="0" w:line="240" w:lineRule="auto"/>
          </w:pPr>
          <w:r>
            <w:rPr>
              <w:b/>
              <w:sz w:val="18"/>
              <w:szCs w:val="18"/>
              <w:rFonts w:ascii="Calibri" w:hAnsi="Calibri"/>
              <w:color w:val="14213D"/>
            </w:rPr>
            <w:t xml:space="preserve">Kevin Glock Statistical Consulting Services | GSC Services</w:t>
          </w:r>
        </w:p>
        <w:p>
          <w:pPr>
            <w:jc w:val="right"/>
          </w:pPr>
          <w:r>
            <w:rPr>
              <w:sz w:val="17"/>
              <w:szCs w:val="17"/>
              <w:rFonts w:ascii="Calibri" w:hAnsi="Calibri"/>
              <w:color w:val="4F6D8A"/>
            </w:rPr>
            <w:t xml:space="preserve">Exam: Qualitative Methods: Overview</w:t>
          </w:r>
        </w:p>
      </w:tc>
    </w:tr>
  </w:tbl>
  <w:p>
    <w:pPr>
      <w:spacing w:before="0"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