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4213D"/>
          <w:sz w:val="40"/>
        </w:rPr>
        <w:t>Formelsammlung Statistik — PhD / All-Access Level</w:t>
      </w:r>
    </w:p>
    <w:p>
      <w:pPr>
        <w:spacing w:after="80"/>
        <w:jc w:val="center"/>
      </w:pPr>
      <w:r>
        <w:rPr>
          <w:rFonts w:ascii="Calibri" w:hAnsi="Calibri"/>
          <w:i/>
          <w:color w:val="4F6D8A"/>
          <w:sz w:val="18"/>
        </w:rPr>
        <w:t>Bayes, Mehrebenen, SEM, ML, Meta-Analyse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c>
          <w:tcPr>
            <w:tcW w:type="dxa" w:w="1984"/>
            <w:shd w:fill="14213D" w:val="clear"/>
          </w:tcPr>
          <w:p>
            <w:pPr>
              <w:spacing w:before="20" w:after="20" w:line="200" w:lineRule="exact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Thema</w:t>
            </w:r>
          </w:p>
        </w:tc>
        <w:tc>
          <w:tcPr>
            <w:tcW w:type="dxa" w:w="4535"/>
            <w:shd w:fill="14213D" w:val="clear"/>
          </w:tcPr>
          <w:p>
            <w:pPr>
              <w:spacing w:before="20" w:after="20" w:line="200" w:lineRule="exact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Formel / Konzept</w:t>
            </w:r>
          </w:p>
        </w:tc>
        <w:tc>
          <w:tcPr>
            <w:tcW w:type="dxa" w:w="7937"/>
            <w:shd w:fill="14213D" w:val="clear"/>
          </w:tcPr>
          <w:p>
            <w:pPr>
              <w:spacing w:before="20" w:after="20" w:line="200" w:lineRule="exact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Erklärung / Beispiel</w:t>
            </w:r>
          </w:p>
        </w:tc>
      </w:tr>
      <w:tr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/>
                <w:color w:val="14213D"/>
                <w:sz w:val="16"/>
              </w:rPr>
              <w:t>Bayes-Theorem</w:t>
            </w:r>
          </w:p>
        </w:tc>
        <w:tc>
          <w:tcPr>
            <w:tcW w:type="dxa" w:w="4535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P(θ|D) = P(D|θ)·P(θ) / P(D)</w:t>
            </w:r>
          </w:p>
        </w:tc>
        <w:tc>
          <w:tcPr>
            <w:tcW w:type="dxa" w:w="7937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Posterior = Likelihood · Prior / Evidence</w:t>
            </w:r>
          </w:p>
        </w:tc>
      </w:tr>
      <w:tr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/>
                <w:color w:val="14213D"/>
                <w:sz w:val="16"/>
              </w:rPr>
              <w:t>Bayes-Faktor</w:t>
            </w:r>
          </w:p>
        </w:tc>
        <w:tc>
          <w:tcPr>
            <w:tcW w:type="dxa" w:w="4535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BF₁₀ = P(D|H₁) / P(D|H₀)</w:t>
            </w:r>
          </w:p>
        </w:tc>
        <w:tc>
          <w:tcPr>
            <w:tcW w:type="dxa" w:w="7937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BF &gt; 3: moderat; BF &gt; 10: starke Evidenz</w:t>
            </w:r>
          </w:p>
        </w:tc>
      </w:tr>
      <w:tr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/>
                <w:color w:val="14213D"/>
                <w:sz w:val="16"/>
              </w:rPr>
              <w:t>MCMC</w:t>
            </w:r>
          </w:p>
        </w:tc>
        <w:tc>
          <w:tcPr>
            <w:tcW w:type="dxa" w:w="4535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P(θ|D) ≈ 1/m · Σg(θ^(t))</w:t>
            </w:r>
          </w:p>
        </w:tc>
        <w:tc>
          <w:tcPr>
            <w:tcW w:type="dxa" w:w="7937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Posterior-Mean via MCMC. R-hat &lt; 1,01</w:t>
            </w:r>
          </w:p>
        </w:tc>
      </w:tr>
      <w:tr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/>
                <w:color w:val="14213D"/>
                <w:sz w:val="16"/>
              </w:rPr>
              <w:t>ICC (Mehrebenen)</w:t>
            </w:r>
          </w:p>
        </w:tc>
        <w:tc>
          <w:tcPr>
            <w:tcW w:type="dxa" w:w="4535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ICC = σ²_zwischen / (σ²_zwischen + σ²_innerhalb)</w:t>
            </w:r>
          </w:p>
        </w:tc>
        <w:tc>
          <w:tcPr>
            <w:tcW w:type="dxa" w:w="7937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Anteil Level-2-Varianz. ICC &gt; ,05 ⇒ HLM</w:t>
            </w:r>
          </w:p>
        </w:tc>
      </w:tr>
      <w:tr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/>
                <w:color w:val="14213D"/>
                <w:sz w:val="16"/>
              </w:rPr>
              <w:t>Mehrebenenmodell</w:t>
            </w:r>
          </w:p>
        </w:tc>
        <w:tc>
          <w:tcPr>
            <w:tcW w:type="dxa" w:w="4535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yᵢⱼ = γ₀₀ + γ₁₀·xᵢⱼ + u₀ⱼ + u₁ⱼ·xᵢⱼ + eᵢⱼ</w:t>
            </w:r>
          </w:p>
        </w:tc>
        <w:tc>
          <w:tcPr>
            <w:tcW w:type="dxa" w:w="7937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Fixed: γ; Random: u; Level-1: i; Level-2: j</w:t>
            </w:r>
          </w:p>
        </w:tc>
      </w:tr>
      <w:tr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/>
                <w:color w:val="14213D"/>
                <w:sz w:val="16"/>
              </w:rPr>
              <w:t>Cross-Level-Interaktion</w:t>
            </w:r>
          </w:p>
        </w:tc>
        <w:tc>
          <w:tcPr>
            <w:tcW w:type="dxa" w:w="4535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γ₁₁ = Effekt von wⱼ (L2) auf b₁ⱼ (L1-Steigung)</w:t>
            </w:r>
          </w:p>
        </w:tc>
        <w:tc>
          <w:tcPr>
            <w:tcW w:type="dxa" w:w="7937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Moderiert eine L2-Variable einen L1-Effekt?</w:t>
            </w:r>
          </w:p>
        </w:tc>
      </w:tr>
      <w:tr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/>
                <w:color w:val="14213D"/>
                <w:sz w:val="16"/>
              </w:rPr>
              <w:t>SEM – CFI</w:t>
            </w:r>
          </w:p>
        </w:tc>
        <w:tc>
          <w:tcPr>
            <w:tcW w:type="dxa" w:w="4535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CFI = 1 − max(χ²_m − df_m, 0) / max(χ²_m − df_m, χ²_b − df_b, 0)</w:t>
            </w:r>
          </w:p>
        </w:tc>
        <w:tc>
          <w:tcPr>
            <w:tcW w:type="dxa" w:w="7937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&gt; ,95: gut; &gt; ,90: akzeptabel</w:t>
            </w:r>
          </w:p>
        </w:tc>
      </w:tr>
      <w:tr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/>
                <w:color w:val="14213D"/>
                <w:sz w:val="16"/>
              </w:rPr>
              <w:t>SEM – RMSEA</w:t>
            </w:r>
          </w:p>
        </w:tc>
        <w:tc>
          <w:tcPr>
            <w:tcW w:type="dxa" w:w="4535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RMSEA = √(max(χ²_m − df_m, 0) / (df_m · (N−1)))</w:t>
            </w:r>
          </w:p>
        </w:tc>
        <w:tc>
          <w:tcPr>
            <w:tcW w:type="dxa" w:w="7937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&lt; ,06: gut; ,06−,08: akzeptabel; &gt; ,10: schlecht</w:t>
            </w:r>
          </w:p>
        </w:tc>
      </w:tr>
      <w:tr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/>
                <w:color w:val="14213D"/>
                <w:sz w:val="16"/>
              </w:rPr>
              <w:t>Mediation (PROCESS)</w:t>
            </w:r>
          </w:p>
        </w:tc>
        <w:tc>
          <w:tcPr>
            <w:tcW w:type="dxa" w:w="4535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a·b = indirekter Effekt; c' = direkter Effekt</w:t>
            </w:r>
          </w:p>
        </w:tc>
        <w:tc>
          <w:tcPr>
            <w:tcW w:type="dxa" w:w="7937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X→M (a); M→Y (b); a·b Boot-KI ≠ 0 = sign. Mediation</w:t>
            </w:r>
          </w:p>
        </w:tc>
      </w:tr>
      <w:tr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/>
                <w:color w:val="14213D"/>
                <w:sz w:val="16"/>
              </w:rPr>
              <w:t>Moderation</w:t>
            </w:r>
          </w:p>
        </w:tc>
        <w:tc>
          <w:tcPr>
            <w:tcW w:type="dxa" w:w="4535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y = b₀ + b₁x + b₂z + b₃x·z + e</w:t>
            </w:r>
          </w:p>
        </w:tc>
        <w:tc>
          <w:tcPr>
            <w:tcW w:type="dxa" w:w="7937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b₃ = Interaktion. Simple Slopes bei Mean ± 1 SD von z</w:t>
            </w:r>
          </w:p>
        </w:tc>
      </w:tr>
      <w:tr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/>
                <w:color w:val="14213D"/>
                <w:sz w:val="16"/>
              </w:rPr>
              <w:t>Poweranalyse</w:t>
            </w:r>
          </w:p>
        </w:tc>
        <w:tc>
          <w:tcPr>
            <w:tcW w:type="dxa" w:w="4535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n = f(α, β, d)</w:t>
            </w:r>
          </w:p>
        </w:tc>
        <w:tc>
          <w:tcPr>
            <w:tcW w:type="dxa" w:w="7937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Power &gt; ,80. G*Power. Effektstärke aus Vorforschung</w:t>
            </w:r>
          </w:p>
        </w:tc>
      </w:tr>
      <w:tr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/>
                <w:color w:val="14213D"/>
                <w:sz w:val="16"/>
              </w:rPr>
              <w:t>Meta (Fixeffekt)</w:t>
            </w:r>
          </w:p>
        </w:tc>
        <w:tc>
          <w:tcPr>
            <w:tcW w:type="dxa" w:w="4535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θ_gepoolt = Σ(wᵢ·θᵢ) / Σwᵢ</w:t>
            </w:r>
          </w:p>
        </w:tc>
        <w:tc>
          <w:tcPr>
            <w:tcW w:type="dxa" w:w="7937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wᵢ = 1/vᵢ (inverse Varianz). Ein wahrer Effekt</w:t>
            </w:r>
          </w:p>
        </w:tc>
      </w:tr>
      <w:tr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/>
                <w:color w:val="14213D"/>
                <w:sz w:val="16"/>
              </w:rPr>
              <w:t>Meta (Zufallseffekt)</w:t>
            </w:r>
          </w:p>
        </w:tc>
        <w:tc>
          <w:tcPr>
            <w:tcW w:type="dxa" w:w="4535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w*ᵢ = 1 / (vᵢ + τ²)</w:t>
            </w:r>
          </w:p>
        </w:tc>
        <w:tc>
          <w:tcPr>
            <w:tcW w:type="dxa" w:w="7937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τ² = Zwischenstudien-Varianz. Effekt variiert</w:t>
            </w:r>
          </w:p>
        </w:tc>
      </w:tr>
      <w:tr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/>
                <w:color w:val="14213D"/>
                <w:sz w:val="16"/>
              </w:rPr>
              <w:t>I²</w:t>
            </w:r>
          </w:p>
        </w:tc>
        <w:tc>
          <w:tcPr>
            <w:tcW w:type="dxa" w:w="4535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I² = (Q − df) / Q · 100%</w:t>
            </w:r>
          </w:p>
        </w:tc>
        <w:tc>
          <w:tcPr>
            <w:tcW w:type="dxa" w:w="7937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Heterogenitätsanteil. 25/50/75% = niedrig/mittel/hoch</w:t>
            </w:r>
          </w:p>
        </w:tc>
      </w:tr>
      <w:tr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/>
                <w:color w:val="14213D"/>
                <w:sz w:val="16"/>
              </w:rPr>
              <w:t>Funnel-Plot</w:t>
            </w:r>
          </w:p>
        </w:tc>
        <w:tc>
          <w:tcPr>
            <w:tcW w:type="dxa" w:w="4535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Effekt (x) vs. SE (y)</w:t>
            </w:r>
          </w:p>
        </w:tc>
        <w:tc>
          <w:tcPr>
            <w:tcW w:type="dxa" w:w="7937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Asymmetrie = Publikationsbias. Egger-Test p &lt; ,10</w:t>
            </w:r>
          </w:p>
        </w:tc>
      </w:tr>
      <w:tr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/>
                <w:color w:val="14213D"/>
                <w:sz w:val="16"/>
              </w:rPr>
              <w:t>Präzision-Recall</w:t>
            </w:r>
          </w:p>
        </w:tc>
        <w:tc>
          <w:tcPr>
            <w:tcW w:type="dxa" w:w="4535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P = TP/(TP+FP); R = TP/(TP+FN)</w:t>
            </w:r>
          </w:p>
        </w:tc>
        <w:tc>
          <w:tcPr>
            <w:tcW w:type="dxa" w:w="7937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Präzision: Korrektheit. Recall: Vollständigkeit</w:t>
            </w:r>
          </w:p>
        </w:tc>
      </w:tr>
      <w:tr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/>
                <w:color w:val="14213D"/>
                <w:sz w:val="16"/>
              </w:rPr>
              <w:t>F1-Score</w:t>
            </w:r>
          </w:p>
        </w:tc>
        <w:tc>
          <w:tcPr>
            <w:tcW w:type="dxa" w:w="4535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F1 = 2 · P · R / (P + R)</w:t>
            </w:r>
          </w:p>
        </w:tc>
        <w:tc>
          <w:tcPr>
            <w:tcW w:type="dxa" w:w="7937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Harmonisches Mittel von Präzision und Recall</w:t>
            </w:r>
          </w:p>
        </w:tc>
      </w:tr>
      <w:tr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/>
                <w:color w:val="14213D"/>
                <w:sz w:val="16"/>
              </w:rPr>
              <w:t>AUC-ROC</w:t>
            </w:r>
          </w:p>
        </w:tc>
        <w:tc>
          <w:tcPr>
            <w:tcW w:type="dxa" w:w="4535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AUC = ∫(TPR(FPR)) d(FPR)</w:t>
            </w:r>
          </w:p>
        </w:tc>
        <w:tc>
          <w:tcPr>
            <w:tcW w:type="dxa" w:w="7937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AUC &gt; ,70 akzeptabel; &gt; ,80 gut; &gt; ,90 exzellent</w:t>
            </w:r>
          </w:p>
        </w:tc>
      </w:tr>
      <w:tr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/>
                <w:color w:val="14213D"/>
                <w:sz w:val="16"/>
              </w:rPr>
              <w:t>Bias-Varianz</w:t>
            </w:r>
          </w:p>
        </w:tc>
        <w:tc>
          <w:tcPr>
            <w:tcW w:type="dxa" w:w="4535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E[(y − f̂(x))²] = Bias² + Var + σ²</w:t>
            </w:r>
          </w:p>
        </w:tc>
        <w:tc>
          <w:tcPr>
            <w:tcW w:type="dxa" w:w="7937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Bias: systematischer Fehler; Var: Streuung. Tradeoff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6838" w:h="11906" w:orient="landscape"/>
      <w:pgMar w:top="850" w:right="850" w:bottom="68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sz w:val="14"/>
        <w:szCs w:val="14"/>
        <w:rFonts w:ascii="Calibri" w:hAnsi="Calibri"/>
      </w:rPr>
      <w:t xml:space="preserve">Kevin Glock Statistical Consulting Services | GSC Services · www.kevinglock.de</w:t>
    </w:r>
    <w:r>
      <w:rPr>
        <w:sz w:val="18"/>
        <w:szCs w:val="18"/>
        <w:rFonts w:ascii="Cambria" w:hAnsi="Cambria"/>
      </w:rPr>
      <w:t xml:space="preserve"> | Seite </w:t>
    </w:r>
    <w:r>
      <w:rPr>
        <w:sz w:val="18"/>
        <w:szCs w:val="18"/>
        <w:rFonts w:ascii="Cambria" w:hAnsi="Cambria"/>
      </w:rPr>
      <w:fldChar w:fldCharType="begin"/>
    </w:r>
    <w:r>
      <w:rPr>
        <w:sz w:val="18"/>
        <w:szCs w:val="18"/>
        <w:rFonts w:ascii="Cambria" w:hAnsi="Cambria"/>
      </w:rPr>
      <w:instrText xml:space="preserve"> PAGE </w:instrText>
    </w:r>
    <w:r>
      <w:rPr>
        <w:sz w:val="18"/>
        <w:szCs w:val="18"/>
        <w:rFonts w:ascii="Cambria" w:hAnsi="Cambria"/>
      </w:rPr>
      <w:fldChar w:fldCharType="separate"/>
    </w:r>
    <w:r>
      <w:rPr>
        <w:sz w:val="18"/>
        <w:szCs w:val="18"/>
        <w:rFonts w:ascii="Cambria" w:hAnsi="Cambria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tblLook w:firstColumn="1" w:firstRow="1" w:lastColumn="0" w:lastRow="0" w:noHBand="0" w:noVBand="1" w:val="04A0"/>
    </w:tblPr>
    <w:tblGrid>
      <w:gridCol w:w="4680"/>
      <w:gridCol w:w="4680"/>
    </w:tblGrid>
    <w:tr>
      <w:tc>
        <w:tcPr>
          <w:tcW w:type="dxa" w:w="4680"/>
        </w:tcPr>
        <w:p>
          <w:pPr>
            <w:jc w:val="center"/>
          </w:pPr>
          <w:r>
            <w:drawing>
              <wp:inline xmlns:a="http://schemas.openxmlformats.org/drawingml/2006/main" xmlns:pic="http://schemas.openxmlformats.org/drawingml/2006/picture">
                <wp:extent cx="1008000" cy="2016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compact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0080" cy="128016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680"/>
        </w:tcPr>
        <w:p>
          <w:pPr>
            <w:jc w:val="right"/>
            <w:spacing w:after="0" w:line="240" w:lineRule="auto"/>
          </w:pPr>
          <w:r>
            <w:rPr>
              <w:b/>
              <w:sz w:val="18"/>
              <w:szCs w:val="18"/>
              <w:rFonts w:ascii="Calibri" w:hAnsi="Calibri"/>
              <w:color w:val="14213D"/>
            </w:rPr>
            <w:t xml:space="preserve">Kevin Glock Statistical Consulting Services | GSC Services</w:t>
          </w:r>
        </w:p>
        <w:p>
          <w:pPr>
            <w:jc w:val="right"/>
          </w:pPr>
          <w:r>
            <w:rPr>
              <w:sz w:val="17"/>
              <w:szCs w:val="17"/>
              <w:rFonts w:ascii="Calibri" w:hAnsi="Calibri"/>
              <w:color w:val="4F6D8A"/>
            </w:rPr>
            <w:t xml:space="preserve">Formelsammlung / Spickzettel</w:t>
          </w:r>
        </w:p>
      </w:tc>
    </w:tr>
  </w:tbl>
  <w:p w14:paraId="7C74DF6B" w14:textId="77777777" w:rsidR="003D5C0B" w:rsidRDefault="00000000">
    <w:pPr>
      <w:spacing w:after="80"/>
    </w:pPr>
    <w:r>
      <w:rPr>
        <w:color w:val="FF6600"/>
        <w:sz w:val="8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