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Multiple lineare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Hauptunterschied zur einfachen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Nichtlineare Zusammenhänge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Mehrere UVs gleichzeitig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Mehrere AVs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 Achsenabschnitt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Multikollinearität?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Hohe Korrelation zwischen den UVs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Fehlende Varianz der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Hohe Korrelation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Nicht-Normalverteilung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3. Welcher Wert deutet auf Multikollinearität hin?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R-Quadrat &lt; 0.1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 &gt; 0.05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beta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VIF &gt; 10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unter Kontrolle von...?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Standardisierung aller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Kontrolle der Stichprobengröße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Betrachtung des Effekts bei Konstanthaltung anderer UVs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Vergleich zweier Gruppen</w:t>
      </w:r>
    </w:p>
    <w:p>
      <w:pPr>
        <w:spacing w:before="200"/>
      </w:pPr>
      <w:r>
        <w:rPr>
          <w:rFonts w:ascii="Calibri" w:hAnsi="Calibri"/>
          <w:b/>
          <w:sz w:val="20"/>
        </w:rPr>
        <w:t>5. Welches Mass vergleicht Modelle mit unterschiedlicher Variablenzahl?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Adjustiertes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KorrelationsKoeffizient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Standardfehler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R-Quadrat</w:t>
      </w:r>
    </w:p>
    <w:p>
      <w:pPr>
        <w:spacing w:before="200"/>
      </w:pPr>
      <w:r>
        <w:rPr>
          <w:rFonts w:ascii="Calibri" w:hAnsi="Calibri"/>
          <w:b/>
          <w:sz w:val="20"/>
        </w:rPr>
        <w:t>6. Welche Variable wird bei Forward-Selection als erste aufgenommen?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mit der höchsten Korrelation zur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mit der grössten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mit dem niedrigsten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erste im Datensatz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Suppressor-Effekt?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Variable erhöht die Vorhersagekraft, obwohl sie mit der AV unkorreliert ist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Variable unterdrückt andere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Ausreißer-Effekt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Interaktionseffekt</w:t>
      </w:r>
    </w:p>
    <w:p>
      <w:pPr>
        <w:spacing w:before="200"/>
      </w:pPr>
      <w:r>
        <w:rPr>
          <w:rFonts w:ascii="Calibri" w:hAnsi="Calibri"/>
          <w:b/>
          <w:sz w:val="20"/>
        </w:rPr>
        <w:t>8. Was misst der partielle KorrelationsKoeffizient?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Korrelation aller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Den DeterminationsKoeffizienten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Den Zusammenhang nach Auspartialisierung der übrigen Variablen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Multiple lineare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