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C28E" w14:textId="7FE22F2C" w:rsidR="002549C8" w:rsidRPr="00C661FF" w:rsidRDefault="00000000" w:rsidP="00C661FF">
      <w:pPr>
        <w:tabs>
          <w:tab w:val="center" w:pos="4819"/>
          <w:tab w:val="left" w:pos="7441"/>
        </w:tabs>
        <w:jc w:val="center"/>
        <w:rPr>
          <w:lang w:val="de-DE"/>
        </w:rPr>
      </w:pPr>
      <w:r w:rsidRPr="00C661FF">
        <w:rPr>
          <w:rFonts w:ascii="Calibri" w:hAnsi="Calibri"/>
          <w:b/>
          <w:sz w:val="34"/>
          <w:lang w:val="de-DE"/>
        </w:rPr>
        <w:t>Einfaktorielle ANOVA</w:t>
      </w:r>
    </w:p>
    <w:p w14:paraId="2114A744" w14:textId="3D4133A8" w:rsidR="002549C8" w:rsidRPr="00C661FF" w:rsidRDefault="00B027F9">
      <w:pPr>
        <w:jc w:val="center"/>
        <w:rPr>
          <w:lang w:val="de-DE"/>
        </w:rPr>
      </w:pPr>
      <w:r>
        <w:rPr>
          <w:rFonts w:ascii="Calibri" w:hAnsi="Calibri"/>
          <w:i/>
          <w:color w:val="666666"/>
          <w:sz w:val="20"/>
          <w:lang w:val="de-DE"/>
        </w:rPr>
        <w:t xml:space="preserve">Statistisches </w:t>
      </w:r>
      <w:r w:rsidR="00000000" w:rsidRPr="00C661FF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3061A1D6" w14:textId="77777777" w:rsidR="002549C8" w:rsidRPr="00C661FF" w:rsidRDefault="002549C8">
      <w:pPr>
        <w:rPr>
          <w:lang w:val="de-DE"/>
        </w:rPr>
      </w:pPr>
    </w:p>
    <w:p w14:paraId="2C8A692F" w14:textId="77777777" w:rsidR="002549C8" w:rsidRPr="00C661FF" w:rsidRDefault="00000000">
      <w:pPr>
        <w:spacing w:before="240"/>
        <w:rPr>
          <w:lang w:val="de-DE"/>
        </w:rPr>
      </w:pPr>
      <w:r w:rsidRPr="00C661FF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54F1ECC4" w14:textId="77777777" w:rsidR="002549C8" w:rsidRPr="00C661FF" w:rsidRDefault="00000000">
      <w:pPr>
        <w:spacing w:after="8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Was, wenn du nicht nur zwei, sondern drei oder mehr Gruppen vergleichen willst?</w:t>
      </w:r>
    </w:p>
    <w:p w14:paraId="378E5E4C" w14:textId="57B299E3" w:rsidR="002549C8" w:rsidRPr="00C661FF" w:rsidRDefault="00000000">
      <w:pPr>
        <w:spacing w:after="8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Sagen wir: Beeinflusst deine Lieblingsmusikrichtung (Rock, Klassik, Hip-Hop, Jazz)</w:t>
      </w:r>
      <w:r w:rsidR="00C661FF">
        <w:rPr>
          <w:rFonts w:ascii="Calibri" w:hAnsi="Calibri"/>
          <w:sz w:val="20"/>
          <w:lang w:val="de-DE"/>
        </w:rPr>
        <w:t xml:space="preserve"> </w:t>
      </w:r>
      <w:r w:rsidRPr="00C661FF">
        <w:rPr>
          <w:rFonts w:ascii="Calibri" w:hAnsi="Calibri"/>
          <w:sz w:val="20"/>
          <w:lang w:val="de-DE"/>
        </w:rPr>
        <w:t xml:space="preserve">deine Konzentrationsfähigkeit? </w:t>
      </w:r>
      <w:r w:rsidR="00C661FF">
        <w:rPr>
          <w:rFonts w:ascii="Calibri" w:hAnsi="Calibri"/>
          <w:sz w:val="20"/>
          <w:lang w:val="de-DE"/>
        </w:rPr>
        <w:br/>
      </w:r>
      <w:r w:rsidRPr="00C661FF">
        <w:rPr>
          <w:rFonts w:ascii="Calibri" w:hAnsi="Calibri"/>
          <w:sz w:val="20"/>
          <w:lang w:val="de-DE"/>
        </w:rPr>
        <w:t>Mit dem t-Test kommst du hier nicht weit – der kann</w:t>
      </w:r>
      <w:r w:rsidR="00C661FF">
        <w:rPr>
          <w:rFonts w:ascii="Calibri" w:hAnsi="Calibri"/>
          <w:sz w:val="20"/>
          <w:lang w:val="de-DE"/>
        </w:rPr>
        <w:t xml:space="preserve"> </w:t>
      </w:r>
      <w:r w:rsidRPr="00C661FF">
        <w:rPr>
          <w:rFonts w:ascii="Calibri" w:hAnsi="Calibri"/>
          <w:sz w:val="20"/>
          <w:lang w:val="de-DE"/>
        </w:rPr>
        <w:t xml:space="preserve">nur zwei Gruppen. Für drei oder mehr brauchst du die ANOVA (Analysis </w:t>
      </w:r>
      <w:proofErr w:type="spellStart"/>
      <w:r w:rsidRPr="00C661FF">
        <w:rPr>
          <w:rFonts w:ascii="Calibri" w:hAnsi="Calibri"/>
          <w:sz w:val="20"/>
          <w:lang w:val="de-DE"/>
        </w:rPr>
        <w:t>of</w:t>
      </w:r>
      <w:proofErr w:type="spellEnd"/>
      <w:r w:rsidRPr="00C661FF">
        <w:rPr>
          <w:rFonts w:ascii="Calibri" w:hAnsi="Calibri"/>
          <w:sz w:val="20"/>
          <w:lang w:val="de-DE"/>
        </w:rPr>
        <w:t xml:space="preserve"> </w:t>
      </w:r>
      <w:proofErr w:type="spellStart"/>
      <w:r w:rsidRPr="00C661FF">
        <w:rPr>
          <w:rFonts w:ascii="Calibri" w:hAnsi="Calibri"/>
          <w:sz w:val="20"/>
          <w:lang w:val="de-DE"/>
        </w:rPr>
        <w:t>Variance</w:t>
      </w:r>
      <w:proofErr w:type="spellEnd"/>
      <w:r w:rsidRPr="00C661FF">
        <w:rPr>
          <w:rFonts w:ascii="Calibri" w:hAnsi="Calibri"/>
          <w:sz w:val="20"/>
          <w:lang w:val="de-DE"/>
        </w:rPr>
        <w:t>).</w:t>
      </w:r>
    </w:p>
    <w:p w14:paraId="6BC44A32" w14:textId="77777777" w:rsidR="002549C8" w:rsidRPr="00C661FF" w:rsidRDefault="002549C8">
      <w:pPr>
        <w:spacing w:after="80"/>
        <w:rPr>
          <w:lang w:val="de-DE"/>
        </w:rPr>
      </w:pPr>
    </w:p>
    <w:p w14:paraId="4417AB20" w14:textId="25E1842A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>Die Idee: Sie vergleicht die Varianz ZWISCHEN den Gruppen mit der Varianz INNERHALB</w:t>
      </w:r>
      <w:r w:rsidR="00C661FF">
        <w:rPr>
          <w:rFonts w:ascii="Calibri" w:hAnsi="Calibri"/>
          <w:sz w:val="20"/>
          <w:lang w:val="de-DE"/>
        </w:rPr>
        <w:t xml:space="preserve"> </w:t>
      </w:r>
      <w:r w:rsidRPr="00C661FF">
        <w:rPr>
          <w:rFonts w:ascii="Calibri" w:hAnsi="Calibri"/>
          <w:sz w:val="20"/>
          <w:lang w:val="de-DE"/>
        </w:rPr>
        <w:t xml:space="preserve">der Gruppen. </w:t>
      </w:r>
      <w:r w:rsidR="00C661FF">
        <w:rPr>
          <w:rFonts w:ascii="Calibri" w:hAnsi="Calibri"/>
          <w:sz w:val="20"/>
          <w:lang w:val="de-DE"/>
        </w:rPr>
        <w:br/>
      </w:r>
      <w:r w:rsidRPr="00C661FF">
        <w:rPr>
          <w:rFonts w:ascii="Calibri" w:hAnsi="Calibri"/>
          <w:sz w:val="20"/>
          <w:lang w:val="de-DE"/>
        </w:rPr>
        <w:t xml:space="preserve">F = MS_zwischen / </w:t>
      </w:r>
      <w:proofErr w:type="spellStart"/>
      <w:r w:rsidRPr="00C661FF">
        <w:rPr>
          <w:rFonts w:ascii="Calibri" w:hAnsi="Calibri"/>
          <w:sz w:val="20"/>
          <w:lang w:val="de-DE"/>
        </w:rPr>
        <w:t>MS_inner</w:t>
      </w:r>
      <w:proofErr w:type="spellEnd"/>
      <w:r w:rsidRPr="00C661FF">
        <w:rPr>
          <w:rFonts w:ascii="Calibri" w:hAnsi="Calibri"/>
          <w:sz w:val="20"/>
          <w:lang w:val="de-DE"/>
        </w:rPr>
        <w:t>. Ist F groß genug, dann unterscheiden sich</w:t>
      </w:r>
      <w:r w:rsidR="00C661FF">
        <w:rPr>
          <w:rFonts w:ascii="Calibri" w:hAnsi="Calibri"/>
          <w:sz w:val="20"/>
          <w:lang w:val="de-DE"/>
        </w:rPr>
        <w:t xml:space="preserve"> </w:t>
      </w:r>
      <w:r w:rsidRPr="00C661FF">
        <w:rPr>
          <w:rFonts w:ascii="Calibri" w:hAnsi="Calibri"/>
          <w:sz w:val="20"/>
          <w:lang w:val="de-DE"/>
        </w:rPr>
        <w:t xml:space="preserve">die Gruppen. </w:t>
      </w:r>
      <w:r w:rsidR="00C661FF">
        <w:rPr>
          <w:rFonts w:ascii="Calibri" w:hAnsi="Calibri"/>
          <w:sz w:val="20"/>
          <w:lang w:val="de-DE"/>
        </w:rPr>
        <w:br/>
      </w:r>
      <w:r w:rsidRPr="00C661FF">
        <w:rPr>
          <w:rFonts w:ascii="Calibri" w:hAnsi="Calibri"/>
          <w:sz w:val="20"/>
          <w:lang w:val="de-DE"/>
        </w:rPr>
        <w:t xml:space="preserve">Aber welche genau? </w:t>
      </w:r>
      <w:r w:rsidR="00C661FF">
        <w:rPr>
          <w:rFonts w:ascii="Calibri" w:hAnsi="Calibri"/>
          <w:sz w:val="20"/>
          <w:lang w:val="de-DE"/>
        </w:rPr>
        <w:br/>
      </w:r>
      <w:r w:rsidRPr="00C661FF">
        <w:rPr>
          <w:rFonts w:ascii="Calibri" w:hAnsi="Calibri"/>
          <w:sz w:val="20"/>
          <w:lang w:val="de-DE"/>
        </w:rPr>
        <w:t>Dafür gibt es Post-hoc-Tests wie Tukey oder</w:t>
      </w:r>
      <w:r w:rsidR="00C661FF">
        <w:rPr>
          <w:rFonts w:ascii="Calibri" w:hAnsi="Calibri"/>
          <w:sz w:val="20"/>
          <w:lang w:val="de-DE"/>
        </w:rPr>
        <w:t xml:space="preserve"> </w:t>
      </w:r>
      <w:proofErr w:type="spellStart"/>
      <w:r w:rsidRPr="00C661FF">
        <w:rPr>
          <w:rFonts w:ascii="Calibri" w:hAnsi="Calibri"/>
          <w:sz w:val="20"/>
          <w:lang w:val="de-DE"/>
        </w:rPr>
        <w:t>Bonferroni</w:t>
      </w:r>
      <w:proofErr w:type="spellEnd"/>
      <w:r w:rsidRPr="00C661FF">
        <w:rPr>
          <w:rFonts w:ascii="Calibri" w:hAnsi="Calibri"/>
          <w:sz w:val="20"/>
          <w:lang w:val="de-DE"/>
        </w:rPr>
        <w:t xml:space="preserve">. </w:t>
      </w:r>
      <w:r w:rsidR="00C661FF">
        <w:rPr>
          <w:rFonts w:ascii="Calibri" w:hAnsi="Calibri"/>
          <w:sz w:val="20"/>
          <w:lang w:val="de-DE"/>
        </w:rPr>
        <w:br/>
      </w:r>
      <w:r w:rsidRPr="00C661FF">
        <w:rPr>
          <w:rFonts w:ascii="Calibri" w:hAnsi="Calibri"/>
          <w:sz w:val="20"/>
          <w:lang w:val="de-DE"/>
        </w:rPr>
        <w:t>Die Effektstärke heißt Eta²: 0.01 = klein, 0.06 = mittel, 0.14 = groß.</w:t>
      </w:r>
    </w:p>
    <w:p w14:paraId="7C89D97B" w14:textId="77777777" w:rsidR="00C661FF" w:rsidRPr="00C661FF" w:rsidRDefault="00C661FF">
      <w:pPr>
        <w:spacing w:after="80"/>
        <w:rPr>
          <w:lang w:val="de-DE"/>
        </w:rPr>
      </w:pPr>
    </w:p>
    <w:p w14:paraId="5B0CB733" w14:textId="77777777" w:rsidR="002549C8" w:rsidRPr="00C661FF" w:rsidRDefault="00000000">
      <w:pPr>
        <w:spacing w:before="240"/>
        <w:rPr>
          <w:lang w:val="de-DE"/>
        </w:rPr>
      </w:pPr>
      <w:r w:rsidRPr="00C661FF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11DD11CC" w14:textId="77777777" w:rsidR="002549C8" w:rsidRPr="00C661FF" w:rsidRDefault="00000000">
      <w:pPr>
        <w:spacing w:before="160"/>
        <w:rPr>
          <w:lang w:val="de-DE"/>
        </w:rPr>
      </w:pPr>
      <w:r w:rsidRPr="00C661FF">
        <w:rPr>
          <w:rFonts w:ascii="Calibri" w:hAnsi="Calibri"/>
          <w:b/>
          <w:color w:val="4F6D8A"/>
          <w:lang w:val="de-DE"/>
        </w:rPr>
        <w:t>Sozialwissenschaften</w:t>
      </w:r>
    </w:p>
    <w:p w14:paraId="690072A8" w14:textId="77777777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>Lebenszufriedenheit nach Bildungsgruppe (Haupt-, Real-, Abitur/Uni). Quelle: SOEP.</w:t>
      </w:r>
    </w:p>
    <w:p w14:paraId="141EF00F" w14:textId="77777777" w:rsidR="00C661FF" w:rsidRPr="00C661FF" w:rsidRDefault="00C661FF">
      <w:pPr>
        <w:spacing w:after="80"/>
        <w:rPr>
          <w:lang w:val="de-DE"/>
        </w:rPr>
      </w:pPr>
    </w:p>
    <w:p w14:paraId="513B9609" w14:textId="77777777" w:rsidR="002549C8" w:rsidRPr="00C661FF" w:rsidRDefault="00000000">
      <w:pPr>
        <w:spacing w:before="160"/>
        <w:rPr>
          <w:lang w:val="de-DE"/>
        </w:rPr>
      </w:pPr>
      <w:r w:rsidRPr="00C661FF">
        <w:rPr>
          <w:rFonts w:ascii="Calibri" w:hAnsi="Calibri"/>
          <w:b/>
          <w:color w:val="4F6D8A"/>
          <w:lang w:val="de-DE"/>
        </w:rPr>
        <w:t>Wirtschaftswissenschaften</w:t>
      </w:r>
    </w:p>
    <w:p w14:paraId="75F7AC89" w14:textId="77777777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>Wochenarbeitszeit nach Branche (Industrie, Handel, Dienstleistung, IT). Quelle: Mikrozensus.</w:t>
      </w:r>
    </w:p>
    <w:p w14:paraId="5E156C76" w14:textId="77777777" w:rsidR="00C661FF" w:rsidRPr="00C661FF" w:rsidRDefault="00C661FF">
      <w:pPr>
        <w:spacing w:after="80"/>
        <w:rPr>
          <w:lang w:val="de-DE"/>
        </w:rPr>
      </w:pPr>
    </w:p>
    <w:p w14:paraId="39A2F8BC" w14:textId="77777777" w:rsidR="002549C8" w:rsidRPr="00C661FF" w:rsidRDefault="00000000">
      <w:pPr>
        <w:spacing w:before="160"/>
        <w:rPr>
          <w:lang w:val="de-DE"/>
        </w:rPr>
      </w:pPr>
      <w:r w:rsidRPr="00C661FF">
        <w:rPr>
          <w:rFonts w:ascii="Calibri" w:hAnsi="Calibri"/>
          <w:b/>
          <w:color w:val="4F6D8A"/>
          <w:lang w:val="de-DE"/>
        </w:rPr>
        <w:t>Humanwissenschaften</w:t>
      </w:r>
    </w:p>
    <w:p w14:paraId="3C2D0C9A" w14:textId="77777777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 xml:space="preserve">Depressionswerte unter 3 Therapieformen: KVT, </w:t>
      </w:r>
      <w:proofErr w:type="spellStart"/>
      <w:r w:rsidRPr="00C661FF">
        <w:rPr>
          <w:rFonts w:ascii="Calibri" w:hAnsi="Calibri"/>
          <w:sz w:val="20"/>
          <w:lang w:val="de-DE"/>
        </w:rPr>
        <w:t>Pharmako</w:t>
      </w:r>
      <w:proofErr w:type="spellEnd"/>
      <w:r w:rsidRPr="00C661FF">
        <w:rPr>
          <w:rFonts w:ascii="Calibri" w:hAnsi="Calibri"/>
          <w:sz w:val="20"/>
          <w:lang w:val="de-DE"/>
        </w:rPr>
        <w:t>, Warteliste.</w:t>
      </w:r>
    </w:p>
    <w:p w14:paraId="44CBB096" w14:textId="77777777" w:rsidR="00C661FF" w:rsidRPr="00C661FF" w:rsidRDefault="00C661FF">
      <w:pPr>
        <w:spacing w:after="80"/>
        <w:rPr>
          <w:lang w:val="de-DE"/>
        </w:rPr>
      </w:pPr>
    </w:p>
    <w:p w14:paraId="274954A7" w14:textId="77777777" w:rsidR="002549C8" w:rsidRPr="00C661FF" w:rsidRDefault="00000000">
      <w:pPr>
        <w:spacing w:before="160"/>
        <w:rPr>
          <w:lang w:val="de-DE"/>
        </w:rPr>
      </w:pPr>
      <w:r w:rsidRPr="00C661FF">
        <w:rPr>
          <w:rFonts w:ascii="Calibri" w:hAnsi="Calibri"/>
          <w:b/>
          <w:color w:val="4F6D8A"/>
          <w:lang w:val="de-DE"/>
        </w:rPr>
        <w:t>Geisteswissenschaften</w:t>
      </w:r>
    </w:p>
    <w:p w14:paraId="434142F0" w14:textId="77777777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>Wortschatzreichtum (Type-Token-Ratio) nach Textgattung (Roman, Artikel, Blog, Aufsatz).</w:t>
      </w:r>
    </w:p>
    <w:p w14:paraId="6C32AC4E" w14:textId="77777777" w:rsidR="00C661FF" w:rsidRPr="00C661FF" w:rsidRDefault="00C661FF">
      <w:pPr>
        <w:spacing w:after="80"/>
        <w:rPr>
          <w:lang w:val="de-DE"/>
        </w:rPr>
      </w:pPr>
    </w:p>
    <w:p w14:paraId="39B1DAD6" w14:textId="77777777" w:rsidR="002549C8" w:rsidRPr="00C661FF" w:rsidRDefault="00000000">
      <w:pPr>
        <w:spacing w:before="240"/>
        <w:rPr>
          <w:lang w:val="de-DE"/>
        </w:rPr>
      </w:pPr>
      <w:r w:rsidRPr="00C661FF">
        <w:rPr>
          <w:rFonts w:ascii="Calibri" w:hAnsi="Calibri"/>
          <w:b/>
          <w:color w:val="14213D"/>
          <w:sz w:val="28"/>
          <w:lang w:val="de-DE"/>
        </w:rPr>
        <w:t>3. Annahmen und Voraussetzungen</w:t>
      </w:r>
    </w:p>
    <w:p w14:paraId="772521ED" w14:textId="77777777" w:rsidR="002549C8" w:rsidRPr="00C661FF" w:rsidRDefault="00000000" w:rsidP="00C661FF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Normalverteilung der Residuen pro Gruppe.</w:t>
      </w:r>
    </w:p>
    <w:p w14:paraId="6693674C" w14:textId="77777777" w:rsidR="002549C8" w:rsidRPr="00C661FF" w:rsidRDefault="00000000" w:rsidP="00C661FF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Varianzhomogenität (Levene; bei Verletzung: Welch-ANOVA).</w:t>
      </w:r>
    </w:p>
    <w:p w14:paraId="3FEEC585" w14:textId="77777777" w:rsidR="002549C8" w:rsidRPr="00C661FF" w:rsidRDefault="00000000" w:rsidP="00C661FF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Unabhängigkeit der Beobachtungen.</w:t>
      </w:r>
    </w:p>
    <w:p w14:paraId="461C6345" w14:textId="77777777" w:rsidR="002549C8" w:rsidRPr="00C661FF" w:rsidRDefault="00000000" w:rsidP="00C661FF">
      <w:pPr>
        <w:pStyle w:val="Aufzhlungszeichen"/>
        <w:tabs>
          <w:tab w:val="clear" w:pos="360"/>
          <w:tab w:val="num" w:pos="720"/>
        </w:tabs>
        <w:ind w:left="72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Keine Ausreißer.</w:t>
      </w:r>
    </w:p>
    <w:p w14:paraId="4A1933BE" w14:textId="77777777" w:rsidR="002549C8" w:rsidRPr="00C661FF" w:rsidRDefault="00000000">
      <w:pPr>
        <w:spacing w:before="240"/>
        <w:rPr>
          <w:lang w:val="de-DE"/>
        </w:rPr>
      </w:pPr>
      <w:r w:rsidRPr="00C661FF">
        <w:rPr>
          <w:rFonts w:ascii="Calibri" w:hAnsi="Calibri"/>
          <w:b/>
          <w:color w:val="14213D"/>
          <w:sz w:val="28"/>
          <w:lang w:val="de-DE"/>
        </w:rPr>
        <w:lastRenderedPageBreak/>
        <w:t>4. Interpretation und Berichterstattung</w:t>
      </w:r>
    </w:p>
    <w:p w14:paraId="43E2EC85" w14:textId="77777777" w:rsidR="002549C8" w:rsidRPr="00C661FF" w:rsidRDefault="00000000">
      <w:pPr>
        <w:spacing w:after="8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p &lt; 0.05 -&gt; mind. eine Gruppe weicht ab.</w:t>
      </w:r>
    </w:p>
    <w:p w14:paraId="739884C1" w14:textId="77777777" w:rsidR="002549C8" w:rsidRPr="00C661FF" w:rsidRDefault="00000000">
      <w:pPr>
        <w:spacing w:after="8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 xml:space="preserve">Post-hoc: Tukey (konservativ), </w:t>
      </w:r>
      <w:proofErr w:type="spellStart"/>
      <w:r w:rsidRPr="00C661FF">
        <w:rPr>
          <w:rFonts w:ascii="Calibri" w:hAnsi="Calibri"/>
          <w:sz w:val="20"/>
          <w:lang w:val="de-DE"/>
        </w:rPr>
        <w:t>Bonferroni</w:t>
      </w:r>
      <w:proofErr w:type="spellEnd"/>
      <w:r w:rsidRPr="00C661FF">
        <w:rPr>
          <w:rFonts w:ascii="Calibri" w:hAnsi="Calibri"/>
          <w:sz w:val="20"/>
          <w:lang w:val="de-DE"/>
        </w:rPr>
        <w:t xml:space="preserve"> (sehr konservativ).</w:t>
      </w:r>
    </w:p>
    <w:p w14:paraId="3D29C32B" w14:textId="77777777" w:rsidR="002549C8" w:rsidRPr="00C661FF" w:rsidRDefault="00000000">
      <w:pPr>
        <w:spacing w:after="80"/>
        <w:rPr>
          <w:lang w:val="de-DE"/>
        </w:rPr>
      </w:pPr>
      <w:r w:rsidRPr="00C661FF">
        <w:rPr>
          <w:rFonts w:ascii="Calibri" w:hAnsi="Calibri"/>
          <w:sz w:val="20"/>
          <w:lang w:val="de-DE"/>
        </w:rPr>
        <w:t>Eta^2: 0.01 = klein, 0.06 = mittel, 0.14 = groß</w:t>
      </w:r>
    </w:p>
    <w:p w14:paraId="0631278F" w14:textId="77777777" w:rsidR="002549C8" w:rsidRDefault="00000000">
      <w:pPr>
        <w:spacing w:after="80"/>
        <w:rPr>
          <w:rFonts w:ascii="Calibri" w:hAnsi="Calibri"/>
          <w:sz w:val="20"/>
          <w:lang w:val="de-DE"/>
        </w:rPr>
      </w:pPr>
      <w:r w:rsidRPr="00C661FF">
        <w:rPr>
          <w:rFonts w:ascii="Calibri" w:hAnsi="Calibri"/>
          <w:sz w:val="20"/>
          <w:lang w:val="de-DE"/>
        </w:rPr>
        <w:t>Bericht: F(2, 497) = 8.23, p &lt; 0.001, Eta^2 = 0.032</w:t>
      </w:r>
    </w:p>
    <w:p w14:paraId="35F71D76" w14:textId="77777777" w:rsidR="00C661FF" w:rsidRPr="00C661FF" w:rsidRDefault="00C661FF">
      <w:pPr>
        <w:spacing w:after="80"/>
        <w:rPr>
          <w:lang w:val="de-DE"/>
        </w:rPr>
      </w:pPr>
    </w:p>
    <w:p w14:paraId="26C751BF" w14:textId="77777777" w:rsidR="002549C8" w:rsidRPr="00C661FF" w:rsidRDefault="00000000">
      <w:pPr>
        <w:spacing w:before="240"/>
        <w:rPr>
          <w:lang w:val="de-DE"/>
        </w:rPr>
      </w:pPr>
      <w:r w:rsidRPr="00C661FF">
        <w:rPr>
          <w:rFonts w:ascii="Calibri" w:hAnsi="Calibri"/>
          <w:b/>
          <w:color w:val="14213D"/>
          <w:sz w:val="28"/>
          <w:lang w:val="de-DE"/>
        </w:rPr>
        <w:t>5. Code-Beispiele</w:t>
      </w:r>
    </w:p>
    <w:p w14:paraId="4797DA16" w14:textId="77777777" w:rsidR="002549C8" w:rsidRPr="00C661FF" w:rsidRDefault="00000000">
      <w:pPr>
        <w:rPr>
          <w:lang w:val="de-DE"/>
        </w:rPr>
      </w:pPr>
      <w:r w:rsidRPr="00C661FF">
        <w:rPr>
          <w:b/>
          <w:sz w:val="20"/>
          <w:lang w:val="de-DE"/>
        </w:rPr>
        <w:t>R:</w:t>
      </w:r>
    </w:p>
    <w:p w14:paraId="279665B2" w14:textId="77777777" w:rsidR="002549C8" w:rsidRPr="00C661FF" w:rsidRDefault="00000000">
      <w:pPr>
        <w:shd w:val="clear" w:color="auto" w:fill="FAFAF8"/>
        <w:spacing w:before="60" w:after="60"/>
        <w:ind w:left="567"/>
        <w:rPr>
          <w:lang w:val="de-DE"/>
        </w:rPr>
      </w:pP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res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 &lt;- 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aov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zufriedenheit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 ~ 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bildung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data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 = d)</w:t>
      </w:r>
      <w:r w:rsidRPr="00C661FF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summary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res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)</w:t>
      </w:r>
      <w:r w:rsidRPr="00C661FF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library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DescTools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); 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PostHocTest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(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res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, 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method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 xml:space="preserve"> = '</w:t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tukey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')</w:t>
      </w:r>
      <w:r w:rsidRPr="00C661FF">
        <w:rPr>
          <w:rFonts w:ascii="Consolas" w:hAnsi="Consolas"/>
          <w:color w:val="1B263B"/>
          <w:sz w:val="17"/>
          <w:lang w:val="de-DE"/>
        </w:rPr>
        <w:br/>
      </w:r>
      <w:proofErr w:type="spellStart"/>
      <w:r w:rsidRPr="00C661FF">
        <w:rPr>
          <w:rFonts w:ascii="Consolas" w:hAnsi="Consolas"/>
          <w:color w:val="1B263B"/>
          <w:sz w:val="17"/>
          <w:lang w:val="de-DE"/>
        </w:rPr>
        <w:t>oneway.test</w:t>
      </w:r>
      <w:proofErr w:type="spellEnd"/>
      <w:r w:rsidRPr="00C661FF">
        <w:rPr>
          <w:rFonts w:ascii="Consolas" w:hAnsi="Consolas"/>
          <w:color w:val="1B263B"/>
          <w:sz w:val="17"/>
          <w:lang w:val="de-DE"/>
        </w:rPr>
        <w:t>(...) bei Heterogenität</w:t>
      </w:r>
    </w:p>
    <w:p w14:paraId="4FC82020" w14:textId="77777777" w:rsidR="002549C8" w:rsidRPr="00C661FF" w:rsidRDefault="00000000">
      <w:pPr>
        <w:rPr>
          <w:lang w:val="de-DE"/>
        </w:rPr>
      </w:pPr>
      <w:r w:rsidRPr="00C661FF">
        <w:rPr>
          <w:b/>
          <w:sz w:val="20"/>
          <w:lang w:val="de-DE"/>
        </w:rPr>
        <w:t>Python:</w:t>
      </w:r>
    </w:p>
    <w:p w14:paraId="4B8549E2" w14:textId="77777777" w:rsidR="002549C8" w:rsidRPr="00B027F9" w:rsidRDefault="00000000">
      <w:pPr>
        <w:shd w:val="clear" w:color="auto" w:fill="FAFAF8"/>
        <w:spacing w:before="60" w:after="60"/>
        <w:ind w:left="567"/>
        <w:rPr>
          <w:lang w:val="en-GB"/>
        </w:rPr>
      </w:pPr>
      <w:r w:rsidRPr="00B027F9">
        <w:rPr>
          <w:rFonts w:ascii="Consolas" w:hAnsi="Consolas"/>
          <w:color w:val="1B263B"/>
          <w:sz w:val="17"/>
          <w:lang w:val="en-GB"/>
        </w:rPr>
        <w:t xml:space="preserve">from 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scipy.stats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t xml:space="preserve"> import 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f_oneway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br/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f_oneway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t>(g1, g2, g3)</w:t>
      </w:r>
      <w:r w:rsidRPr="00B027F9">
        <w:rPr>
          <w:rFonts w:ascii="Consolas" w:hAnsi="Consolas"/>
          <w:color w:val="1B263B"/>
          <w:sz w:val="17"/>
          <w:lang w:val="en-GB"/>
        </w:rPr>
        <w:br/>
        <w:t xml:space="preserve">from 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statsmodels.stats.multicomp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t xml:space="preserve"> import 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pairwise_tukeyhsd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br/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pairwise_tukeyhsd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t>(d['y'], d['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gruppe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t>'])</w:t>
      </w:r>
    </w:p>
    <w:p w14:paraId="53705045" w14:textId="77777777" w:rsidR="002549C8" w:rsidRPr="00C661FF" w:rsidRDefault="00000000">
      <w:pPr>
        <w:rPr>
          <w:lang w:val="de-DE"/>
        </w:rPr>
      </w:pPr>
      <w:r w:rsidRPr="00C661FF">
        <w:rPr>
          <w:b/>
          <w:sz w:val="20"/>
          <w:lang w:val="de-DE"/>
        </w:rPr>
        <w:t>SPSS:</w:t>
      </w:r>
    </w:p>
    <w:p w14:paraId="16C459DC" w14:textId="77777777" w:rsidR="002549C8" w:rsidRPr="00B027F9" w:rsidRDefault="00000000">
      <w:pPr>
        <w:shd w:val="clear" w:color="auto" w:fill="FAFAF8"/>
        <w:spacing w:before="60" w:after="60"/>
        <w:ind w:left="567"/>
        <w:rPr>
          <w:lang w:val="en-GB"/>
        </w:rPr>
      </w:pPr>
      <w:r w:rsidRPr="00B027F9">
        <w:rPr>
          <w:rFonts w:ascii="Consolas" w:hAnsi="Consolas"/>
          <w:color w:val="1B263B"/>
          <w:sz w:val="17"/>
          <w:lang w:val="en-GB"/>
        </w:rPr>
        <w:t xml:space="preserve">ONEWAY y BY </w:t>
      </w:r>
      <w:proofErr w:type="spellStart"/>
      <w:r w:rsidRPr="00B027F9">
        <w:rPr>
          <w:rFonts w:ascii="Consolas" w:hAnsi="Consolas"/>
          <w:color w:val="1B263B"/>
          <w:sz w:val="17"/>
          <w:lang w:val="en-GB"/>
        </w:rPr>
        <w:t>gruppe</w:t>
      </w:r>
      <w:proofErr w:type="spellEnd"/>
      <w:r w:rsidRPr="00B027F9">
        <w:rPr>
          <w:rFonts w:ascii="Consolas" w:hAnsi="Consolas"/>
          <w:color w:val="1B263B"/>
          <w:sz w:val="17"/>
          <w:lang w:val="en-GB"/>
        </w:rPr>
        <w:br/>
        <w:t>/STATISTICS DESCRIPTIVES HOMOGENEITY</w:t>
      </w:r>
      <w:r w:rsidRPr="00B027F9">
        <w:rPr>
          <w:rFonts w:ascii="Consolas" w:hAnsi="Consolas"/>
          <w:color w:val="1B263B"/>
          <w:sz w:val="17"/>
          <w:lang w:val="en-GB"/>
        </w:rPr>
        <w:br/>
        <w:t>/POSTHOC=TUKEY BONFERRONI ALPHA(0.05).</w:t>
      </w:r>
    </w:p>
    <w:p w14:paraId="008688A0" w14:textId="64320CE9" w:rsidR="002549C8" w:rsidRPr="00B027F9" w:rsidRDefault="002549C8" w:rsidP="00C661FF">
      <w:pPr>
        <w:rPr>
          <w:lang w:val="en-GB"/>
        </w:rPr>
      </w:pPr>
    </w:p>
    <w:p w14:paraId="73419EB8" w14:textId="77777777" w:rsidR="00C661FF" w:rsidRPr="00B027F9" w:rsidRDefault="00C661FF" w:rsidP="00C661FF">
      <w:pPr>
        <w:rPr>
          <w:lang w:val="en-GB"/>
        </w:rPr>
      </w:pPr>
    </w:p>
    <w:p w14:paraId="503F1950" w14:textId="77777777" w:rsidR="00C661FF" w:rsidRPr="00B027F9" w:rsidRDefault="00C661FF" w:rsidP="00C661FF">
      <w:pPr>
        <w:rPr>
          <w:lang w:val="en-GB"/>
        </w:rPr>
      </w:pPr>
    </w:p>
    <w:p w14:paraId="62D8D8FE" w14:textId="77777777" w:rsidR="00C661FF" w:rsidRPr="00B027F9" w:rsidRDefault="00C661FF" w:rsidP="00C661FF">
      <w:pPr>
        <w:rPr>
          <w:lang w:val="en-GB"/>
        </w:rPr>
      </w:pPr>
    </w:p>
    <w:p w14:paraId="674DA0F9" w14:textId="77777777" w:rsidR="00C661FF" w:rsidRPr="00B027F9" w:rsidRDefault="00C661FF" w:rsidP="00C661FF">
      <w:pPr>
        <w:rPr>
          <w:lang w:val="en-GB"/>
        </w:rPr>
      </w:pPr>
    </w:p>
    <w:p w14:paraId="3B5DA33C" w14:textId="77777777" w:rsidR="00C661FF" w:rsidRPr="00B027F9" w:rsidRDefault="00C661FF" w:rsidP="00C661FF">
      <w:pPr>
        <w:rPr>
          <w:lang w:val="en-GB"/>
        </w:rPr>
      </w:pPr>
    </w:p>
    <w:p w14:paraId="0CCB9E84" w14:textId="77777777" w:rsidR="00C661FF" w:rsidRPr="00B027F9" w:rsidRDefault="00C661FF" w:rsidP="00C661FF">
      <w:pPr>
        <w:rPr>
          <w:lang w:val="en-GB"/>
        </w:rPr>
      </w:pPr>
    </w:p>
    <w:p w14:paraId="0C040FDE" w14:textId="77777777" w:rsidR="00C661FF" w:rsidRPr="00B027F9" w:rsidRDefault="00C661FF" w:rsidP="00C661FF">
      <w:pPr>
        <w:rPr>
          <w:lang w:val="en-GB"/>
        </w:rPr>
      </w:pPr>
    </w:p>
    <w:p w14:paraId="6B6D4C97" w14:textId="77777777" w:rsidR="00C661FF" w:rsidRPr="00B027F9" w:rsidRDefault="00C661FF" w:rsidP="00C661FF">
      <w:pPr>
        <w:rPr>
          <w:lang w:val="en-GB"/>
        </w:rPr>
      </w:pPr>
    </w:p>
    <w:p w14:paraId="7C15D9C0" w14:textId="77777777" w:rsidR="00C661FF" w:rsidRPr="00B027F9" w:rsidRDefault="00C661FF" w:rsidP="00C661FF">
      <w:pPr>
        <w:rPr>
          <w:lang w:val="en-GB"/>
        </w:rPr>
      </w:pPr>
    </w:p>
    <w:p w14:paraId="1E691D76" w14:textId="77777777" w:rsidR="00C661FF" w:rsidRPr="00B027F9" w:rsidRDefault="00C661FF" w:rsidP="00C661FF">
      <w:pPr>
        <w:rPr>
          <w:lang w:val="en-GB"/>
        </w:rPr>
      </w:pPr>
    </w:p>
    <w:p w14:paraId="17F645BE" w14:textId="2285C0FA" w:rsidR="00C661FF" w:rsidRPr="00B027F9" w:rsidRDefault="00C661FF" w:rsidP="00C661FF">
      <w:pPr>
        <w:rPr>
          <w:lang w:val="en-GB"/>
        </w:rPr>
      </w:pPr>
    </w:p>
    <w:p w14:paraId="0896342E" w14:textId="77777777" w:rsidR="0069274B" w:rsidRPr="00B027F9" w:rsidRDefault="0069274B" w:rsidP="00C661FF">
      <w:pPr>
        <w:rPr>
          <w:lang w:val="en-GB"/>
        </w:rPr>
      </w:pPr>
    </w:p>
    <w:p w14:paraId="3C6FD203" w14:textId="62EE957D" w:rsidR="00C661FF" w:rsidRPr="0069274B" w:rsidRDefault="0069274B" w:rsidP="0069274B">
      <w:pPr>
        <w:jc w:val="center"/>
      </w:pPr>
      <w:r w:rsidRPr="005F03EE"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C661FF" w:rsidRPr="0069274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DE37" w14:textId="77777777" w:rsidR="004B567A" w:rsidRDefault="004B567A">
      <w:pPr>
        <w:spacing w:after="0" w:line="240" w:lineRule="auto"/>
      </w:pPr>
      <w:r>
        <w:separator/>
      </w:r>
    </w:p>
  </w:endnote>
  <w:endnote w:type="continuationSeparator" w:id="0">
    <w:p w14:paraId="1600D1B0" w14:textId="77777777" w:rsidR="004B567A" w:rsidRDefault="004B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0899" w14:textId="77777777" w:rsidR="002549C8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60EE2" w14:textId="77777777" w:rsidR="004B567A" w:rsidRDefault="004B567A">
      <w:pPr>
        <w:spacing w:after="0" w:line="240" w:lineRule="auto"/>
      </w:pPr>
      <w:r>
        <w:separator/>
      </w:r>
    </w:p>
  </w:footnote>
  <w:footnote w:type="continuationSeparator" w:id="0">
    <w:p w14:paraId="78B55AC5" w14:textId="77777777" w:rsidR="004B567A" w:rsidRDefault="004B5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1FADC" w14:textId="77777777" w:rsidR="002549C8" w:rsidRPr="00C661FF" w:rsidRDefault="002549C8">
    <w:pPr>
      <w:pStyle w:val="Kopfzeile"/>
      <w:rPr>
        <w:lang w:val="de-DE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549C8" w:rsidRPr="00C661FF" w14:paraId="5F54DD4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0661C3D6" w14:textId="77777777" w:rsidR="002549C8" w:rsidRPr="00C661FF" w:rsidRDefault="00000000">
          <w:pPr>
            <w:rPr>
              <w:lang w:val="de-DE"/>
            </w:rPr>
          </w:pPr>
          <w:r w:rsidRPr="00C661FF">
            <w:rPr>
              <w:noProof/>
              <w:lang w:val="de-DE"/>
            </w:rPr>
            <w:drawing>
              <wp:inline distT="0" distB="0" distL="0" distR="0" wp14:anchorId="3B962706" wp14:editId="0A63EB52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6FA28A28" w14:textId="77777777" w:rsidR="002549C8" w:rsidRPr="00B027F9" w:rsidRDefault="00000000">
          <w:pPr>
            <w:spacing w:after="0"/>
            <w:jc w:val="right"/>
            <w:rPr>
              <w:lang w:val="en-GB"/>
            </w:rPr>
          </w:pPr>
          <w:r w:rsidRPr="00B027F9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499B212F" w14:textId="21E83655" w:rsidR="002549C8" w:rsidRPr="00C661FF" w:rsidRDefault="00C661FF">
          <w:pPr>
            <w:spacing w:after="0"/>
            <w:jc w:val="right"/>
            <w:rPr>
              <w:lang w:val="de-DE"/>
            </w:rPr>
          </w:pPr>
          <w:r w:rsidRPr="00C661FF">
            <w:rPr>
              <w:rFonts w:ascii="Calibri" w:hAnsi="Calibri"/>
              <w:color w:val="4F6D8A"/>
              <w:sz w:val="17"/>
              <w:lang w:val="de-DE"/>
            </w:rPr>
            <w:t>Einfaktorielle ANOVA</w:t>
          </w:r>
        </w:p>
      </w:tc>
    </w:tr>
  </w:tbl>
  <w:p w14:paraId="55B967B2" w14:textId="77777777" w:rsidR="002549C8" w:rsidRPr="00C661FF" w:rsidRDefault="00000000">
    <w:pPr>
      <w:spacing w:after="80"/>
      <w:rPr>
        <w:lang w:val="de-DE"/>
      </w:rPr>
    </w:pPr>
    <w:r w:rsidRPr="00C661FF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043870">
    <w:abstractNumId w:val="8"/>
  </w:num>
  <w:num w:numId="2" w16cid:durableId="1048147732">
    <w:abstractNumId w:val="6"/>
  </w:num>
  <w:num w:numId="3" w16cid:durableId="674190539">
    <w:abstractNumId w:val="5"/>
  </w:num>
  <w:num w:numId="4" w16cid:durableId="738671922">
    <w:abstractNumId w:val="4"/>
  </w:num>
  <w:num w:numId="5" w16cid:durableId="1199002713">
    <w:abstractNumId w:val="7"/>
  </w:num>
  <w:num w:numId="6" w16cid:durableId="1810702955">
    <w:abstractNumId w:val="3"/>
  </w:num>
  <w:num w:numId="7" w16cid:durableId="1100417180">
    <w:abstractNumId w:val="2"/>
  </w:num>
  <w:num w:numId="8" w16cid:durableId="1347052750">
    <w:abstractNumId w:val="1"/>
  </w:num>
  <w:num w:numId="9" w16cid:durableId="568544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9C8"/>
    <w:rsid w:val="0029639D"/>
    <w:rsid w:val="00326F90"/>
    <w:rsid w:val="004B567A"/>
    <w:rsid w:val="0069274B"/>
    <w:rsid w:val="006958E3"/>
    <w:rsid w:val="007307A2"/>
    <w:rsid w:val="00AA1D8D"/>
    <w:rsid w:val="00B027F9"/>
    <w:rsid w:val="00B47730"/>
    <w:rsid w:val="00C661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4</cp:revision>
  <dcterms:created xsi:type="dcterms:W3CDTF">2013-12-23T23:15:00Z</dcterms:created>
  <dcterms:modified xsi:type="dcterms:W3CDTF">2026-05-20T14:21:00Z</dcterms:modified>
  <cp:category/>
</cp:coreProperties>
</file>