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DE273" w14:textId="77777777" w:rsidR="002077E2" w:rsidRDefault="00000000">
      <w:pPr>
        <w:jc w:val="center"/>
      </w:pPr>
      <w:r>
        <w:rPr>
          <w:rFonts w:ascii="Calibri" w:hAnsi="Calibri"/>
          <w:b/>
          <w:color w:val="14213D"/>
          <w:sz w:val="36"/>
        </w:rPr>
        <w:t>Discriminant Analysis</w:t>
      </w:r>
    </w:p>
    <w:p w14:paraId="6A42EF77" w14:textId="2EC4FCC1" w:rsidR="00824519" w:rsidRDefault="00000000" w:rsidP="00824519">
      <w:pPr>
        <w:jc w:val="center"/>
      </w:pPr>
      <w:r>
        <w:rPr>
          <w:rFonts w:ascii="Calibri" w:hAnsi="Calibri"/>
          <w:i/>
          <w:color w:val="4F6D8A"/>
          <w:sz w:val="20"/>
        </w:rPr>
        <w:t>Method Dossier with Field-Specific Examples | Standard Level</w:t>
      </w:r>
    </w:p>
    <w:p w14:paraId="54E4EB3F" w14:textId="77777777" w:rsidR="00824519" w:rsidRPr="00824519" w:rsidRDefault="00824519" w:rsidP="00824519"/>
    <w:p w14:paraId="22D10B3D" w14:textId="5F3E0B43" w:rsidR="002077E2" w:rsidRDefault="00000000"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 Description</w:t>
      </w:r>
    </w:p>
    <w:p w14:paraId="12A34158" w14:textId="77777777" w:rsidR="002077E2" w:rsidRDefault="00000000">
      <w:pPr>
        <w:spacing w:before="40" w:after="80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Discriminant analysis classifies objects into known groups. Goal: find a linear (LDA) or quadratic (QDA) function separating groups optimally. D = b₁x₁ + b₂x₂ + ... + bₖxₖ.</w:t>
      </w:r>
    </w:p>
    <w:p w14:paraId="23F3901B" w14:textId="77777777" w:rsidR="00824519" w:rsidRDefault="00824519">
      <w:pPr>
        <w:spacing w:before="40" w:after="80"/>
      </w:pPr>
    </w:p>
    <w:p w14:paraId="1C0E8491" w14:textId="77777777" w:rsidR="002077E2" w:rsidRDefault="00000000">
      <w:pPr>
        <w:spacing w:before="40" w:after="80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LDA assumes equal covariance matrices across groups; QDA allows group-specific covariances. The discriminant function maximizes between-group vs. within-group variance. Wilks' Lambda tests significance.</w:t>
      </w:r>
    </w:p>
    <w:p w14:paraId="6BBC4B07" w14:textId="77777777" w:rsidR="00824519" w:rsidRDefault="00824519">
      <w:pPr>
        <w:spacing w:before="40" w:after="80"/>
      </w:pPr>
    </w:p>
    <w:p w14:paraId="523A505E" w14:textId="5C534675" w:rsidR="002077E2" w:rsidRDefault="00000000" w:rsidP="00824519"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Field-Specific Examples</w:t>
      </w:r>
    </w:p>
    <w:p w14:paraId="222A08FB" w14:textId="77777777" w:rsidR="002077E2" w:rsidRDefault="00000000">
      <w:pPr>
        <w:spacing w:before="200" w:after="60"/>
      </w:pPr>
      <w:r>
        <w:rPr>
          <w:rFonts w:ascii="Calibri" w:hAnsi="Calibri"/>
          <w:b/>
          <w:color w:val="14213D"/>
        </w:rPr>
        <w:t>Social Sciences</w:t>
      </w:r>
    </w:p>
    <w:p w14:paraId="41A74F10" w14:textId="77777777" w:rsidR="002077E2" w:rsidRDefault="00000000">
      <w:pPr>
        <w:spacing w:before="40" w:after="80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Predicting study dropouts vs. graduates using GPA, satisfaction, finances. LDA, n=500, hit rate 74%.</w:t>
      </w:r>
    </w:p>
    <w:p w14:paraId="2C0CD721" w14:textId="77777777" w:rsidR="00824519" w:rsidRDefault="00824519">
      <w:pPr>
        <w:spacing w:before="40" w:after="80"/>
      </w:pPr>
    </w:p>
    <w:p w14:paraId="4A90F666" w14:textId="77777777" w:rsidR="002077E2" w:rsidRDefault="00000000">
      <w:pPr>
        <w:spacing w:before="200" w:after="60"/>
      </w:pPr>
      <w:r>
        <w:rPr>
          <w:rFonts w:ascii="Calibri" w:hAnsi="Calibri"/>
          <w:b/>
          <w:color w:val="14213D"/>
        </w:rPr>
        <w:t>Economics</w:t>
      </w:r>
    </w:p>
    <w:p w14:paraId="36497BE0" w14:textId="77777777" w:rsidR="002077E2" w:rsidRDefault="00000000">
      <w:pPr>
        <w:spacing w:before="40" w:after="80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Credit default prediction using income, debt, age. LDA, 82% accuracy.</w:t>
      </w:r>
    </w:p>
    <w:p w14:paraId="0E645DE4" w14:textId="77777777" w:rsidR="00824519" w:rsidRDefault="00824519">
      <w:pPr>
        <w:spacing w:before="40" w:after="80"/>
      </w:pPr>
    </w:p>
    <w:p w14:paraId="3C220B87" w14:textId="77777777" w:rsidR="002077E2" w:rsidRDefault="00000000">
      <w:pPr>
        <w:spacing w:before="200" w:after="60"/>
      </w:pPr>
      <w:r>
        <w:rPr>
          <w:rFonts w:ascii="Calibri" w:hAnsi="Calibri"/>
          <w:b/>
          <w:color w:val="14213D"/>
        </w:rPr>
        <w:t>Medicine</w:t>
      </w:r>
    </w:p>
    <w:p w14:paraId="01211B01" w14:textId="77777777" w:rsidR="002077E2" w:rsidRDefault="00000000">
      <w:pPr>
        <w:spacing w:before="40" w:after="80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Diabetes diagnosis from blood values. QDA, sensitivity 89%, specificity 91%.</w:t>
      </w:r>
    </w:p>
    <w:p w14:paraId="3BDC06BA" w14:textId="77777777" w:rsidR="00824519" w:rsidRDefault="00824519">
      <w:pPr>
        <w:spacing w:before="40" w:after="80"/>
      </w:pPr>
    </w:p>
    <w:p w14:paraId="6E15AA7C" w14:textId="77777777" w:rsidR="002077E2" w:rsidRDefault="00000000">
      <w:pPr>
        <w:spacing w:before="200" w:after="60"/>
      </w:pPr>
      <w:r>
        <w:rPr>
          <w:rFonts w:ascii="Calibri" w:hAnsi="Calibri"/>
          <w:b/>
          <w:color w:val="14213D"/>
        </w:rPr>
        <w:t>Humanities</w:t>
      </w:r>
    </w:p>
    <w:p w14:paraId="503A4EEF" w14:textId="77777777" w:rsidR="002077E2" w:rsidRDefault="00000000">
      <w:pPr>
        <w:spacing w:before="40" w:after="80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Authorship attribution via stylometric features. LDA, 97% correct classification.</w:t>
      </w:r>
    </w:p>
    <w:p w14:paraId="6FA62C24" w14:textId="77777777" w:rsidR="00824519" w:rsidRDefault="00824519">
      <w:pPr>
        <w:spacing w:before="40" w:after="80"/>
      </w:pPr>
    </w:p>
    <w:p w14:paraId="67F2FDD0" w14:textId="77777777" w:rsidR="002077E2" w:rsidRDefault="00000000">
      <w:pPr>
        <w:spacing w:before="200" w:after="60"/>
      </w:pPr>
      <w:r>
        <w:rPr>
          <w:rFonts w:ascii="Calibri" w:hAnsi="Calibri"/>
          <w:b/>
          <w:color w:val="14213D"/>
        </w:rPr>
        <w:t>Sports Sciences</w:t>
      </w:r>
    </w:p>
    <w:p w14:paraId="70001057" w14:textId="77777777" w:rsidR="002077E2" w:rsidRDefault="00000000">
      <w:pPr>
        <w:spacing w:before="40" w:after="80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Talent scouting: future pros vs. amateurs using fitness tests. LDA, 81% hit rate.</w:t>
      </w:r>
    </w:p>
    <w:p w14:paraId="301B04CA" w14:textId="77777777" w:rsidR="000E4D01" w:rsidRDefault="000E4D01">
      <w:pPr>
        <w:spacing w:before="40" w:after="80"/>
      </w:pPr>
    </w:p>
    <w:p w14:paraId="4D7FDC81" w14:textId="77777777" w:rsidR="002077E2" w:rsidRDefault="00000000"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Assumptions and Prerequisites</w:t>
      </w:r>
    </w:p>
    <w:p w14:paraId="215F2757" w14:textId="77777777" w:rsidR="002077E2" w:rsidRDefault="00000000" w:rsidP="000E4D01">
      <w:pPr>
        <w:pStyle w:val="Listenabsatz"/>
        <w:numPr>
          <w:ilvl w:val="0"/>
          <w:numId w:val="10"/>
        </w:numPr>
        <w:spacing w:before="20" w:after="20"/>
      </w:pPr>
      <w:r w:rsidRPr="000E4D01">
        <w:rPr>
          <w:rFonts w:ascii="Calibri" w:hAnsi="Calibri"/>
          <w:sz w:val="18"/>
        </w:rPr>
        <w:t>Metric predictors (binary/ordinal with 5+ levels acceptable)</w:t>
      </w:r>
    </w:p>
    <w:p w14:paraId="5A74E5D5" w14:textId="77777777" w:rsidR="002077E2" w:rsidRDefault="00000000" w:rsidP="000E4D01">
      <w:pPr>
        <w:pStyle w:val="Listenabsatz"/>
        <w:numPr>
          <w:ilvl w:val="0"/>
          <w:numId w:val="10"/>
        </w:numPr>
        <w:spacing w:before="20" w:after="20"/>
      </w:pPr>
      <w:r w:rsidRPr="000E4D01">
        <w:rPr>
          <w:rFonts w:ascii="Calibri" w:hAnsi="Calibri"/>
          <w:sz w:val="18"/>
        </w:rPr>
        <w:t>Known group membership (nominal/binary)</w:t>
      </w:r>
    </w:p>
    <w:p w14:paraId="51A2032E" w14:textId="77777777" w:rsidR="002077E2" w:rsidRDefault="00000000" w:rsidP="000E4D01">
      <w:pPr>
        <w:pStyle w:val="Listenabsatz"/>
        <w:numPr>
          <w:ilvl w:val="0"/>
          <w:numId w:val="10"/>
        </w:numPr>
        <w:spacing w:before="20" w:after="20"/>
      </w:pPr>
      <w:r w:rsidRPr="000E4D01">
        <w:rPr>
          <w:rFonts w:ascii="Calibri" w:hAnsi="Calibri"/>
          <w:sz w:val="18"/>
        </w:rPr>
        <w:t>Multivariate normality per group</w:t>
      </w:r>
    </w:p>
    <w:p w14:paraId="4F60DDA4" w14:textId="77777777" w:rsidR="002077E2" w:rsidRDefault="00000000" w:rsidP="000E4D01">
      <w:pPr>
        <w:pStyle w:val="Listenabsatz"/>
        <w:numPr>
          <w:ilvl w:val="0"/>
          <w:numId w:val="10"/>
        </w:numPr>
        <w:spacing w:before="20" w:after="20"/>
      </w:pPr>
      <w:r w:rsidRPr="000E4D01">
        <w:rPr>
          <w:rFonts w:ascii="Calibri" w:hAnsi="Calibri"/>
          <w:sz w:val="18"/>
        </w:rPr>
        <w:t>LDA: homogeneity of covariance matrices (Box's M test, p &gt; .05)</w:t>
      </w:r>
    </w:p>
    <w:p w14:paraId="5223C5ED" w14:textId="77777777" w:rsidR="002077E2" w:rsidRDefault="00000000" w:rsidP="000E4D01">
      <w:pPr>
        <w:pStyle w:val="Listenabsatz"/>
        <w:numPr>
          <w:ilvl w:val="0"/>
          <w:numId w:val="10"/>
        </w:numPr>
        <w:spacing w:before="20" w:after="20"/>
      </w:pPr>
      <w:r w:rsidRPr="000E4D01">
        <w:rPr>
          <w:rFonts w:ascii="Calibri" w:hAnsi="Calibri"/>
          <w:sz w:val="18"/>
        </w:rPr>
        <w:t>QDA: no homogeneity needed, larger samples needed</w:t>
      </w:r>
    </w:p>
    <w:p w14:paraId="416CFDC6" w14:textId="77777777" w:rsidR="002077E2" w:rsidRDefault="00000000" w:rsidP="000E4D01">
      <w:pPr>
        <w:pStyle w:val="Listenabsatz"/>
        <w:numPr>
          <w:ilvl w:val="0"/>
          <w:numId w:val="10"/>
        </w:numPr>
        <w:spacing w:before="20" w:after="20"/>
      </w:pPr>
      <w:r w:rsidRPr="000E4D01">
        <w:rPr>
          <w:rFonts w:ascii="Calibri" w:hAnsi="Calibri"/>
          <w:sz w:val="18"/>
        </w:rPr>
        <w:t>No perfect multicollinearity</w:t>
      </w:r>
    </w:p>
    <w:p w14:paraId="0D506542" w14:textId="77777777" w:rsidR="002077E2" w:rsidRDefault="00000000" w:rsidP="000E4D01">
      <w:pPr>
        <w:pStyle w:val="Listenabsatz"/>
        <w:numPr>
          <w:ilvl w:val="0"/>
          <w:numId w:val="10"/>
        </w:numPr>
        <w:spacing w:before="20" w:after="20"/>
      </w:pPr>
      <w:r w:rsidRPr="000E4D01">
        <w:rPr>
          <w:rFonts w:ascii="Calibri" w:hAnsi="Calibri"/>
          <w:sz w:val="18"/>
        </w:rPr>
        <w:t>Minimum n &gt; number of predictors per group</w:t>
      </w:r>
    </w:p>
    <w:p w14:paraId="74CF6E6F" w14:textId="64EAF371" w:rsidR="002077E2" w:rsidRDefault="00000000" w:rsidP="000E4D01">
      <w:pPr>
        <w:spacing w:before="280" w:after="120"/>
      </w:pPr>
      <w:r>
        <w:rPr>
          <w:rFonts w:ascii="Calibri" w:hAnsi="Calibri"/>
          <w:b/>
          <w:color w:val="14213D"/>
          <w:sz w:val="28"/>
        </w:rPr>
        <w:lastRenderedPageBreak/>
        <w:t>4. Interpretation and Reporting</w:t>
      </w:r>
    </w:p>
    <w:p w14:paraId="54CC83B2" w14:textId="77777777" w:rsidR="002077E2" w:rsidRDefault="00000000" w:rsidP="000E4D01">
      <w:pPr>
        <w:pStyle w:val="Listenabsatz"/>
        <w:numPr>
          <w:ilvl w:val="0"/>
          <w:numId w:val="11"/>
        </w:numPr>
        <w:spacing w:before="20" w:after="20"/>
      </w:pPr>
      <w:r w:rsidRPr="000E4D01">
        <w:rPr>
          <w:rFonts w:ascii="Calibri" w:hAnsi="Calibri"/>
          <w:sz w:val="18"/>
        </w:rPr>
        <w:t>Wilks' Lambda + χ² test</w:t>
      </w:r>
    </w:p>
    <w:p w14:paraId="44E528BE" w14:textId="77777777" w:rsidR="002077E2" w:rsidRDefault="00000000" w:rsidP="000E4D01">
      <w:pPr>
        <w:pStyle w:val="Listenabsatz"/>
        <w:numPr>
          <w:ilvl w:val="0"/>
          <w:numId w:val="11"/>
        </w:numPr>
        <w:spacing w:before="20" w:after="20"/>
      </w:pPr>
      <w:r w:rsidRPr="000E4D01">
        <w:rPr>
          <w:rFonts w:ascii="Calibri" w:hAnsi="Calibri"/>
          <w:sz w:val="18"/>
        </w:rPr>
        <w:t>Eigenvalue λ + canonical correlation</w:t>
      </w:r>
    </w:p>
    <w:p w14:paraId="2658DC23" w14:textId="77777777" w:rsidR="002077E2" w:rsidRDefault="00000000" w:rsidP="000E4D01">
      <w:pPr>
        <w:pStyle w:val="Listenabsatz"/>
        <w:numPr>
          <w:ilvl w:val="0"/>
          <w:numId w:val="11"/>
        </w:numPr>
        <w:spacing w:before="20" w:after="20"/>
      </w:pPr>
      <w:r w:rsidRPr="000E4D01">
        <w:rPr>
          <w:rFonts w:ascii="Calibri" w:hAnsi="Calibri"/>
          <w:sz w:val="18"/>
        </w:rPr>
        <w:t>Standardized coefficients (variable importance)</w:t>
      </w:r>
    </w:p>
    <w:p w14:paraId="3A01FFC2" w14:textId="77777777" w:rsidR="002077E2" w:rsidRDefault="00000000" w:rsidP="000E4D01">
      <w:pPr>
        <w:pStyle w:val="Listenabsatz"/>
        <w:numPr>
          <w:ilvl w:val="0"/>
          <w:numId w:val="11"/>
        </w:numPr>
        <w:spacing w:before="20" w:after="20"/>
      </w:pPr>
      <w:r w:rsidRPr="000E4D01">
        <w:rPr>
          <w:rFonts w:ascii="Calibri" w:hAnsi="Calibri"/>
          <w:sz w:val="18"/>
        </w:rPr>
        <w:t>Structure matrix (correlations with discriminant function)</w:t>
      </w:r>
    </w:p>
    <w:p w14:paraId="79BD9588" w14:textId="77777777" w:rsidR="002077E2" w:rsidRDefault="00000000" w:rsidP="000E4D01">
      <w:pPr>
        <w:pStyle w:val="Listenabsatz"/>
        <w:numPr>
          <w:ilvl w:val="0"/>
          <w:numId w:val="11"/>
        </w:numPr>
        <w:spacing w:before="20" w:after="20"/>
      </w:pPr>
      <w:r w:rsidRPr="000E4D01">
        <w:rPr>
          <w:rFonts w:ascii="Calibri" w:hAnsi="Calibri"/>
          <w:sz w:val="18"/>
        </w:rPr>
        <w:t>Confusion matrix + hit rate (original + cross-validated)</w:t>
      </w:r>
    </w:p>
    <w:p w14:paraId="791E7D5C" w14:textId="77777777" w:rsidR="002077E2" w:rsidRDefault="00000000" w:rsidP="000E4D01">
      <w:pPr>
        <w:pStyle w:val="Listenabsatz"/>
        <w:numPr>
          <w:ilvl w:val="0"/>
          <w:numId w:val="11"/>
        </w:numPr>
        <w:spacing w:before="20" w:after="20"/>
      </w:pPr>
      <w:r w:rsidRPr="000E4D01">
        <w:rPr>
          <w:rFonts w:ascii="Calibri" w:hAnsi="Calibri"/>
          <w:sz w:val="18"/>
        </w:rPr>
        <w:t>Sensitivity, specificity, predictive values</w:t>
      </w:r>
    </w:p>
    <w:p w14:paraId="21BC3579" w14:textId="77777777" w:rsidR="002077E2" w:rsidRDefault="00000000">
      <w:pPr>
        <w:spacing w:before="280" w:after="120"/>
      </w:pPr>
      <w:r>
        <w:rPr>
          <w:rFonts w:ascii="Calibri" w:hAnsi="Calibri"/>
          <w:b/>
          <w:color w:val="14213D"/>
          <w:sz w:val="28"/>
        </w:rPr>
        <w:t>5. Code Examples</w:t>
      </w:r>
    </w:p>
    <w:p w14:paraId="07CF0438" w14:textId="77777777" w:rsidR="002077E2" w:rsidRDefault="00000000">
      <w:pPr>
        <w:spacing w:before="120" w:after="40"/>
      </w:pPr>
      <w:r>
        <w:rPr>
          <w:rFonts w:ascii="Calibri" w:hAnsi="Calibri"/>
          <w:b/>
          <w:color w:val="14213D"/>
          <w:sz w:val="20"/>
        </w:rPr>
        <w:t>R — LDA with MASS package:</w:t>
      </w:r>
    </w:p>
    <w:p w14:paraId="2BE18A53" w14:textId="77777777" w:rsidR="002077E2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library(MASS)</w:t>
      </w:r>
    </w:p>
    <w:p w14:paraId="06844B8D" w14:textId="77777777" w:rsidR="002077E2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lda_mod &lt;- lda(g ~ x1+x2, data=d)</w:t>
      </w:r>
    </w:p>
    <w:p w14:paraId="1C5318F2" w14:textId="77777777" w:rsidR="002077E2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pred &lt;- predict(lda_mod)</w:t>
      </w:r>
    </w:p>
    <w:p w14:paraId="3AF0C2A6" w14:textId="77777777" w:rsidR="002077E2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table(d$g, pred$class)</w:t>
      </w:r>
    </w:p>
    <w:p w14:paraId="41681FC3" w14:textId="77777777" w:rsidR="002077E2" w:rsidRDefault="00000000">
      <w:pPr>
        <w:spacing w:after="0"/>
        <w:ind w:left="283"/>
        <w:rPr>
          <w:rFonts w:ascii="Consolas" w:hAnsi="Consolas"/>
          <w:color w:val="14213D"/>
          <w:sz w:val="17"/>
        </w:rPr>
      </w:pPr>
      <w:r>
        <w:rPr>
          <w:rFonts w:ascii="Consolas" w:hAnsi="Consolas"/>
          <w:color w:val="14213D"/>
          <w:sz w:val="17"/>
        </w:rPr>
        <w:t>lda_cv &lt;- lda(g ~ x1+x2, data=d, CV=TRUE)</w:t>
      </w:r>
    </w:p>
    <w:p w14:paraId="1627F281" w14:textId="77777777" w:rsidR="000E4D01" w:rsidRDefault="000E4D01">
      <w:pPr>
        <w:spacing w:after="0"/>
        <w:ind w:left="283"/>
      </w:pPr>
    </w:p>
    <w:p w14:paraId="5297644A" w14:textId="77777777" w:rsidR="002077E2" w:rsidRDefault="00000000"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 — LDA with scikit-learn:</w:t>
      </w:r>
    </w:p>
    <w:p w14:paraId="14EF4CAB" w14:textId="77777777" w:rsidR="002077E2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from sklearn.discriminant_analysis import LinearDiscriminantAnalysis</w:t>
      </w:r>
    </w:p>
    <w:p w14:paraId="3B5CF12C" w14:textId="77777777" w:rsidR="002077E2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lda = LinearDiscriminantAnalysis(); lda.fit(X,y)</w:t>
      </w:r>
    </w:p>
    <w:p w14:paraId="779CEF89" w14:textId="77777777" w:rsidR="002077E2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y_pred = lda.predict(X)</w:t>
      </w:r>
    </w:p>
    <w:p w14:paraId="5A9E50B5" w14:textId="77777777" w:rsidR="002077E2" w:rsidRDefault="00000000">
      <w:pPr>
        <w:spacing w:after="0"/>
        <w:ind w:left="283"/>
        <w:rPr>
          <w:rFonts w:ascii="Consolas" w:hAnsi="Consolas"/>
          <w:color w:val="14213D"/>
          <w:sz w:val="17"/>
        </w:rPr>
      </w:pPr>
      <w:r>
        <w:rPr>
          <w:rFonts w:ascii="Consolas" w:hAnsi="Consolas"/>
          <w:color w:val="14213D"/>
          <w:sz w:val="17"/>
        </w:rPr>
        <w:t>from sklearn.metrics import confusion_matrix</w:t>
      </w:r>
    </w:p>
    <w:p w14:paraId="26FC9067" w14:textId="77777777" w:rsidR="000E4D01" w:rsidRDefault="000E4D01">
      <w:pPr>
        <w:spacing w:after="0"/>
        <w:ind w:left="283"/>
      </w:pPr>
    </w:p>
    <w:p w14:paraId="068B0600" w14:textId="77777777" w:rsidR="002077E2" w:rsidRDefault="00000000">
      <w:pPr>
        <w:spacing w:before="120" w:after="40"/>
      </w:pPr>
      <w:r>
        <w:rPr>
          <w:rFonts w:ascii="Calibri" w:hAnsi="Calibri"/>
          <w:b/>
          <w:color w:val="14213D"/>
          <w:sz w:val="20"/>
        </w:rPr>
        <w:t>SPSS:</w:t>
      </w:r>
    </w:p>
    <w:p w14:paraId="1E71E41A" w14:textId="77777777" w:rsidR="002077E2" w:rsidRDefault="00000000">
      <w:pPr>
        <w:spacing w:after="0"/>
        <w:ind w:left="283"/>
        <w:rPr>
          <w:rFonts w:ascii="Consolas" w:hAnsi="Consolas"/>
          <w:color w:val="14213D"/>
          <w:sz w:val="17"/>
        </w:rPr>
      </w:pPr>
      <w:r>
        <w:rPr>
          <w:rFonts w:ascii="Consolas" w:hAnsi="Consolas"/>
          <w:color w:val="14213D"/>
          <w:sz w:val="17"/>
        </w:rPr>
        <w:t>DISCRIMINANT /GROUPS=g(0 1) /VARIABLES=x1 x2 /CLASSIFY=NONMISSING POOLED.</w:t>
      </w:r>
    </w:p>
    <w:p w14:paraId="255DFDDD" w14:textId="77777777" w:rsidR="000E4D01" w:rsidRDefault="000E4D01">
      <w:pPr>
        <w:spacing w:after="0"/>
        <w:ind w:left="283"/>
      </w:pPr>
    </w:p>
    <w:p w14:paraId="12487278" w14:textId="77777777" w:rsidR="002077E2" w:rsidRDefault="00000000">
      <w:pPr>
        <w:spacing w:before="280" w:after="120"/>
      </w:pPr>
      <w:r>
        <w:rPr>
          <w:rFonts w:ascii="Calibri" w:hAnsi="Calibri"/>
          <w:b/>
          <w:color w:val="14213D"/>
          <w:sz w:val="28"/>
        </w:rPr>
        <w:t>6. Extension</w:t>
      </w:r>
    </w:p>
    <w:p w14:paraId="698AEA14" w14:textId="77777777" w:rsidR="002077E2" w:rsidRDefault="00000000">
      <w:pPr>
        <w:spacing w:before="200" w:after="60"/>
      </w:pPr>
      <w:r>
        <w:rPr>
          <w:rFonts w:ascii="Calibri" w:hAnsi="Calibri"/>
          <w:b/>
          <w:color w:val="14213D"/>
        </w:rPr>
        <w:t>Multinomial / Canonical Discriminant Analysis</w:t>
      </w:r>
    </w:p>
    <w:p w14:paraId="1142EB38" w14:textId="77777777" w:rsidR="002077E2" w:rsidRDefault="00000000">
      <w:pPr>
        <w:spacing w:before="40" w:after="80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For 3+ groups, multiple discriminant functions extracted. Functions 1, 2, ... separate residual variance.</w:t>
      </w:r>
    </w:p>
    <w:p w14:paraId="1EAED028" w14:textId="77777777" w:rsidR="000E4D01" w:rsidRDefault="000E4D01">
      <w:pPr>
        <w:spacing w:before="40" w:after="80"/>
      </w:pPr>
    </w:p>
    <w:p w14:paraId="4F467F10" w14:textId="77777777" w:rsidR="002077E2" w:rsidRDefault="00000000">
      <w:pPr>
        <w:spacing w:before="200" w:after="60"/>
      </w:pPr>
      <w:r>
        <w:rPr>
          <w:rFonts w:ascii="Calibri" w:hAnsi="Calibri"/>
          <w:b/>
          <w:color w:val="14213D"/>
        </w:rPr>
        <w:t>Regularized Discriminant Analysis (RDA)</w:t>
      </w:r>
    </w:p>
    <w:p w14:paraId="5E8559BC" w14:textId="77777777" w:rsidR="002077E2" w:rsidRDefault="00000000">
      <w:pPr>
        <w:spacing w:before="40" w:after="80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LDA/QDA hybrid. Useful for p &gt; n situations (e.g., microarray data).</w:t>
      </w:r>
    </w:p>
    <w:p w14:paraId="12F4A046" w14:textId="77777777" w:rsidR="000E4D01" w:rsidRDefault="000E4D01">
      <w:pPr>
        <w:spacing w:before="40" w:after="80"/>
      </w:pPr>
    </w:p>
    <w:p w14:paraId="3CD061BB" w14:textId="77777777" w:rsidR="002077E2" w:rsidRDefault="00000000">
      <w:pPr>
        <w:spacing w:before="200" w:after="60"/>
      </w:pPr>
      <w:r>
        <w:rPr>
          <w:rFonts w:ascii="Calibri" w:hAnsi="Calibri"/>
          <w:b/>
          <w:color w:val="14213D"/>
        </w:rPr>
        <w:t>Logistic Regression as Alternative</w:t>
      </w:r>
    </w:p>
    <w:p w14:paraId="21421402" w14:textId="16BA1E7A" w:rsidR="000E4D01" w:rsidRDefault="00000000">
      <w:pPr>
        <w:spacing w:before="40" w:after="80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More flexible: no normality assumption, direct probabilities. LDA better with normal predictors and small samples.</w:t>
      </w:r>
    </w:p>
    <w:p w14:paraId="7D2FF640" w14:textId="77777777" w:rsidR="000E4D01" w:rsidRDefault="000E4D01">
      <w:pPr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br w:type="page"/>
      </w:r>
    </w:p>
    <w:p w14:paraId="3186ED21" w14:textId="0F3AFAB6" w:rsidR="002077E2" w:rsidRDefault="00000000" w:rsidP="000E4D01">
      <w:pPr>
        <w:spacing w:before="280" w:after="120"/>
      </w:pPr>
      <w:r>
        <w:rPr>
          <w:rFonts w:ascii="Calibri" w:hAnsi="Calibri"/>
          <w:b/>
          <w:color w:val="14213D"/>
          <w:sz w:val="28"/>
        </w:rPr>
        <w:lastRenderedPageBreak/>
        <w:t>7. Exercises</w:t>
      </w:r>
    </w:p>
    <w:p w14:paraId="2043D3BF" w14:textId="77777777" w:rsidR="002077E2" w:rsidRDefault="00000000">
      <w:pPr>
        <w:spacing w:before="40" w:after="80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Exercise 1: Run LDA on iris (Species ~ 4 predictors). How many discriminant functions? Hit rate? Best predictors?</w:t>
      </w:r>
    </w:p>
    <w:p w14:paraId="5790CFDF" w14:textId="77777777" w:rsidR="000E4D01" w:rsidRDefault="000E4D01">
      <w:pPr>
        <w:spacing w:before="40" w:after="80"/>
      </w:pPr>
    </w:p>
    <w:p w14:paraId="651F082C" w14:textId="77777777" w:rsidR="002077E2" w:rsidRDefault="00000000">
      <w:pPr>
        <w:spacing w:before="40" w:after="80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Exercise 2: Bank n=200 (30 defaults). LDA: Wilks' Λ = 0.52, p &lt; .001. Calculate canonical correlation. Interpret.</w:t>
      </w:r>
    </w:p>
    <w:p w14:paraId="73B396B3" w14:textId="77777777" w:rsidR="000E4D01" w:rsidRDefault="000E4D01">
      <w:pPr>
        <w:spacing w:before="40" w:after="80"/>
      </w:pPr>
    </w:p>
    <w:p w14:paraId="72896C41" w14:textId="77777777" w:rsidR="002077E2" w:rsidRDefault="00000000">
      <w:pPr>
        <w:spacing w:before="40" w:after="80"/>
      </w:pPr>
      <w:r>
        <w:rPr>
          <w:rFonts w:ascii="Calibri" w:hAnsi="Calibri"/>
          <w:sz w:val="19"/>
        </w:rPr>
        <w:t>Exercise 3: When QDA vs. LDA? When logistic regression vs. discriminant analysis? Create a decision matrix.</w:t>
      </w:r>
    </w:p>
    <w:sectPr w:rsidR="002077E2" w:rsidSect="00034616">
      <w:headerReference w:type="default" r:id="rId8"/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E35B3" w14:textId="77777777" w:rsidR="00804609" w:rsidRDefault="00804609">
      <w:pPr>
        <w:spacing w:after="0" w:line="240" w:lineRule="auto"/>
      </w:pPr>
      <w:r>
        <w:separator/>
      </w:r>
    </w:p>
  </w:endnote>
  <w:endnote w:type="continuationSeparator" w:id="0">
    <w:p w14:paraId="076ECEC4" w14:textId="77777777" w:rsidR="00804609" w:rsidRDefault="008046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3BB2C" w14:textId="77777777" w:rsidR="002077E2" w:rsidRDefault="00000000">
    <w:pPr>
      <w:pStyle w:val="Fuzeile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3A025" w14:textId="77777777" w:rsidR="00804609" w:rsidRDefault="00804609">
      <w:pPr>
        <w:spacing w:after="0" w:line="240" w:lineRule="auto"/>
      </w:pPr>
      <w:r>
        <w:separator/>
      </w:r>
    </w:p>
  </w:footnote>
  <w:footnote w:type="continuationSeparator" w:id="0">
    <w:p w14:paraId="23869A01" w14:textId="77777777" w:rsidR="00804609" w:rsidRDefault="008046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680"/>
      <w:gridCol w:w="4680"/>
    </w:tblGrid>
    <w:tr w:rsidR="002077E2" w14:paraId="22FAB795" w14:textId="77777777">
      <w:tc>
        <w:tcPr>
          <w:tcW w:w="4680" w:type="dxa"/>
        </w:tcPr>
        <w:p w14:paraId="42EF3F43" w14:textId="77777777" w:rsidR="002077E2" w:rsidRDefault="00000000" w:rsidP="00824519">
          <w:r>
            <w:rPr>
              <w:noProof/>
            </w:rPr>
            <w:drawing>
              <wp:inline distT="0" distB="0" distL="0" distR="0" wp14:anchorId="196B5760" wp14:editId="522CA2E5">
                <wp:extent cx="1008000" cy="201600"/>
                <wp:effectExtent l="0" t="0" r="1905" b="825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8000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</w:tcPr>
        <w:p w14:paraId="6F5ACBAC" w14:textId="77777777" w:rsidR="002077E2" w:rsidRPr="00824519" w:rsidRDefault="00000000" w:rsidP="00824519">
          <w:pPr>
            <w:spacing w:after="0"/>
            <w:jc w:val="right"/>
            <w:rPr>
              <w:rFonts w:ascii="Calibri" w:hAnsi="Calibri"/>
              <w:b/>
              <w:color w:val="14213D"/>
              <w:sz w:val="18"/>
              <w:lang w:val="en-GB"/>
            </w:rPr>
          </w:pPr>
          <w:r w:rsidRPr="00824519">
            <w:rPr>
              <w:rFonts w:ascii="Calibri" w:hAnsi="Calibri"/>
              <w:b/>
              <w:color w:val="14213D"/>
              <w:sz w:val="18"/>
              <w:lang w:val="en-GB"/>
            </w:rPr>
            <w:t>Kevin Glock Statistical Consulting Services | GSC Services</w:t>
          </w:r>
        </w:p>
        <w:p w14:paraId="094479A0" w14:textId="77777777" w:rsidR="002077E2" w:rsidRDefault="00000000" w:rsidP="00BF08B4">
          <w:pPr>
            <w:spacing w:after="0"/>
            <w:jc w:val="right"/>
          </w:pPr>
          <w:r w:rsidRPr="00BF08B4">
            <w:rPr>
              <w:rFonts w:ascii="Calibri" w:hAnsi="Calibri"/>
              <w:color w:val="4F6D8A"/>
              <w:sz w:val="17"/>
              <w:lang w:val="de-DE"/>
            </w:rPr>
            <w:t>Discriminant Analysis</w:t>
          </w:r>
        </w:p>
      </w:tc>
    </w:tr>
  </w:tbl>
  <w:p w14:paraId="7C74DF6B" w14:textId="77777777" w:rsidR="00000000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D14C35"/>
    <w:multiLevelType w:val="hybridMultilevel"/>
    <w:tmpl w:val="B9AC7D3E"/>
    <w:lvl w:ilvl="0" w:tplc="0407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0" w15:restartNumberingAfterBreak="0">
    <w:nsid w:val="7C4D5725"/>
    <w:multiLevelType w:val="hybridMultilevel"/>
    <w:tmpl w:val="D3365060"/>
    <w:lvl w:ilvl="0" w:tplc="0407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num w:numId="1" w16cid:durableId="1972242565">
    <w:abstractNumId w:val="8"/>
  </w:num>
  <w:num w:numId="2" w16cid:durableId="276058714">
    <w:abstractNumId w:val="6"/>
  </w:num>
  <w:num w:numId="3" w16cid:durableId="688682117">
    <w:abstractNumId w:val="5"/>
  </w:num>
  <w:num w:numId="4" w16cid:durableId="1762141494">
    <w:abstractNumId w:val="4"/>
  </w:num>
  <w:num w:numId="5" w16cid:durableId="1791506427">
    <w:abstractNumId w:val="7"/>
  </w:num>
  <w:num w:numId="6" w16cid:durableId="555122284">
    <w:abstractNumId w:val="3"/>
  </w:num>
  <w:num w:numId="7" w16cid:durableId="1470131958">
    <w:abstractNumId w:val="2"/>
  </w:num>
  <w:num w:numId="8" w16cid:durableId="90591944">
    <w:abstractNumId w:val="1"/>
  </w:num>
  <w:num w:numId="9" w16cid:durableId="444692283">
    <w:abstractNumId w:val="0"/>
  </w:num>
  <w:num w:numId="10" w16cid:durableId="2077049459">
    <w:abstractNumId w:val="10"/>
  </w:num>
  <w:num w:numId="11" w16cid:durableId="104734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D01"/>
    <w:rsid w:val="0015074B"/>
    <w:rsid w:val="002077E2"/>
    <w:rsid w:val="0029639D"/>
    <w:rsid w:val="00326F90"/>
    <w:rsid w:val="006958E3"/>
    <w:rsid w:val="00804609"/>
    <w:rsid w:val="00824519"/>
    <w:rsid w:val="00AA1D8D"/>
    <w:rsid w:val="00B47730"/>
    <w:rsid w:val="00BF08B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18829A82-2517-48DA-B139-7FCAB0CAC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398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4</cp:revision>
  <dcterms:created xsi:type="dcterms:W3CDTF">2013-12-23T23:15:00Z</dcterms:created>
  <dcterms:modified xsi:type="dcterms:W3CDTF">2026-05-20T15:13:00Z</dcterms:modified>
  <cp:category/>
</cp:coreProperties>
</file>