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sz w:val="32"/>
        </w:rPr>
        <w:t>Einführung in R — Advanced Level</w:t>
      </w:r>
    </w:p>
    <w:p>
      <w:pPr>
        <w:spacing w:before="0" w:after="80"/>
        <w:jc w:val="center"/>
      </w:pPr>
      <w:r>
        <w:rPr>
          <w:rFonts w:ascii="Calibri" w:hAnsi="Calibri"/>
          <w:i/>
          <w:color w:val="666666"/>
          <w:sz w:val="20"/>
        </w:rPr>
        <w:t>dplyr · Funktionen · Multiple Regression · ANOVA · ggplot2</w:t>
      </w:r>
    </w:p>
    <w:p/>
    <w:p>
      <w:pPr>
        <w:spacing w:before="0" w:after="120"/>
        <w:jc w:val="center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1. Daten umformen mit dplyr (filter, mutate, group_by)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dplyr-Paket für Datenmanipulation. %&gt;% leitet durch Operationen.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library(dplyr)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 &lt;- read.csv("personen.csv", sep = ";")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d %&gt;% 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filter(alter &gt; 30) %&gt;%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group_by(geschlecht) %&gt;%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summarise(mw_größe = mean(größe, na.rm = TRUE))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# A tibble: 2 × 2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geschlecht mw_größe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&lt;chr&gt; &lt;dbl&gt;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1 m 180.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2 w 166.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2. Eigene Funktion schreiben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Funktionen mit function() {...}. Cohens d = standardisierter Mittelwertsunterschied.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berechne_cohens_d &lt;- function(x, y) {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n1 &lt;- length(x); n2 &lt;- length(y)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s_pooled &lt;- sqrt(((n1-1)*var(x) + (n2-1)*var(y)) / (n1+n2-2))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(mean(x) - mean(y)) / s_pooled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}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 &lt;- rnorm(20, 50, 10); b &lt;- rnorm(20, 55, 10)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berechne_cohens_d(a, b)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berechne_cohens_d(a, b)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-0.423 (kleiner bis mittlerer Effekt)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3. Multiple Regression und Modellvergleich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anova(m1, m2) testet, ob das komplexere Modell signifikant besser ist.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set.seed(42)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n &lt;- 50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x1 &lt;- rnorm(n, 50, 10); x2 &lt;- rnorm(n, 30, 5)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y &lt;- 5 + 0.5*x1 + 0.3*x2 + rnorm(n, sd = 8)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m1 &lt;- lm(y ~ x1)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m2 &lt;- lm(y ~ x1 + x2)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summary(m1)$r.squared; summary(m2)$r.squared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anova(m1, m2)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summary(m1)$r.squared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0.312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summary(m2)$r.squared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[1] 0.358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anova(m1, m2)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Res.Df RSS Df Sum_of_Sq F Pr(&gt;F)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1 48 2390.2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2 47 2250.1 1 140.1 2.926 0.0937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4. Einfaktorielle ANOVA und Post-hoc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factor() für kategoriale UV. aov() für ANOVA. TukeyHSD() für paarweise Vergleiche.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set.seed(7)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df &lt;- data.frame(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wert = c(rnorm(15, 50, 8), rnorm(15, 58, 8), rnorm(15, 45, 8)),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gruppe = factor(rep(c("A","B","C"), each = 15))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res &lt;- aov(wert ~ gruppe, data = 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summary(res)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TukeyHSD(res)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summary(res)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Df Sum Sq Mean Sq F value Pr(&gt;F)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gruppe 2 1432 716.0 12.45 5.8e-05 ***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Residuals 42 2417 57.5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&gt; TukeyHSD(res)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B-A diff = 8.2, p = 0.002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C-A diff = -4.8, p = 0.089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 xml:space="preserve"> C-B diff = -13.0, p &lt; 0.001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5. Ggplot2: Fortgeschrittene Visualisierung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ggplot2: ästhetisches Mapping in aes(), + Schichten für Punkte, Linien, Theme.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library(ggplot2)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data(iris)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ggplot(iris, aes(x = Sepal.Length, y = Petal.Length, color = Species)) +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geom_point(size = 3, alpha = 0.7) +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geom_smooth(method = "lm", se = FALSE) +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labs(title = "Iris-Datensatz", x = "Sepal Length", y = "Petal Length") +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theme_minimal()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Es erscheint ein Scatterplot mit drei farbigen Arten und je einer Regressionsgeraden. Titel und Achsenbeschriftung wie angegeben.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</w:t>
          </w:r>
        </w:p>
        <w:p>
          <w:r>
            <w:rPr>
              <w:sz w:val="18"/>
            </w:rPr>
            <w:t>Einführung 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