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Calibri" w:hAnsi="Calibri"/>
          <w:b/>
          <w:sz w:val="32"/>
        </w:rPr>
        <w:t>Prüfung: Überlebenszeitanalyse</w:t>
      </w:r>
    </w:p>
    <w:p>
      <w:pPr>
        <w:jc w:val="center"/>
      </w:pPr>
      <w:r>
        <w:rPr>
          <w:rFonts w:ascii="Calibri" w:hAnsi="Calibri"/>
          <w:i/>
          <w:color w:val="4F6D8A"/>
          <w:sz w:val="20"/>
        </w:rPr>
        <w:t>Übungsprufung mit Lösungen (DE/EN) | Standard-Niveau</w:t>
      </w:r>
    </w:p>
    <w:p>
      <w:pPr>
        <w:spacing w:before="160" w:after="80"/>
      </w:pPr>
      <w:r>
        <w:rPr>
          <w:rFonts w:ascii="Calibri" w:hAnsi="Calibri"/>
          <w:b/>
          <w:color w:val="14213D"/>
          <w:sz w:val="20"/>
        </w:rPr>
        <w:t xml:space="preserve">1. [Offene Frage] (3 Pkt.) </w:t>
      </w:r>
      <w:r>
        <w:rPr>
          <w:rFonts w:ascii="Calibri" w:hAnsi="Calibri"/>
          <w:sz w:val="20"/>
        </w:rPr>
        <w:t>Eine Krebsstudie (n=200) berichtet S(12 Monate)=0,62 mit 75 zensierten Patienten. a) Interpretiere S(12). b) Warum ist der Median statt des Mittelwerts der Überlebenszeit zu berichten?</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2. [Anwendungsaufgabe] (4 Pkt.) </w:t>
      </w:r>
      <w:r>
        <w:rPr>
          <w:rFonts w:ascii="Calibri" w:hAnsi="Calibri"/>
          <w:sz w:val="20"/>
        </w:rPr>
        <w:t>Ein Cox-Modell ergibt HR=0,65 fuer Behandlung (p=0,004, 95%-KI [0,49;0,87]). a) Interpretiere HR. b) Ist der Effekt signifikant? c) Was bedeutet das 95%-KI?</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3. [Offene Frage] (3 Pkt.) </w:t>
      </w:r>
      <w:r>
        <w:rPr>
          <w:rFonts w:ascii="Calibri" w:hAnsi="Calibri"/>
          <w:sz w:val="20"/>
        </w:rPr>
        <w:t>Der Test auf PH-Annahme (Schoenfeld-Residuen) ist fuer die Variable "Alter" signifikant (p=0,02). a) Bedeutung? b) Drei Handlungsoptionen?</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4. [Offene Frage] (4 Pkt.) </w:t>
      </w:r>
      <w:r>
        <w:rPr>
          <w:rFonts w:ascii="Calibri" w:hAnsi="Calibri"/>
          <w:sz w:val="20"/>
        </w:rPr>
        <w:t>Beschreibe den Unterschied zwischen einem Cox-Proportional-Hazards-Modell und einem parametrischen Weibull-Modell. Wann ist welches zu bevorzugen?</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5. [Offene Frage] (3 Pkt.) </w:t>
      </w:r>
      <w:r>
        <w:rPr>
          <w:rFonts w:ascii="Calibri" w:hAnsi="Calibri"/>
          <w:sz w:val="20"/>
        </w:rPr>
        <w:t>Was ist ein Competing-Risks-Szenario? Warum versagt das standard-Cox-Modell hier? Welche Alternative gibt es?</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6. [Open question] (3 Pts.) </w:t>
      </w:r>
      <w:r>
        <w:rPr>
          <w:rFonts w:ascii="Calibri" w:hAnsi="Calibri"/>
          <w:sz w:val="20"/>
        </w:rPr>
        <w:t>Cancer study n=200, 75 censored, S(12mo)=0.62. a) Interpret. b) Why median not mean?</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7. [Application] (4 Pts.) </w:t>
      </w:r>
      <w:r>
        <w:rPr>
          <w:rFonts w:ascii="Calibri" w:hAnsi="Calibri"/>
          <w:sz w:val="20"/>
        </w:rPr>
        <w:t>Cox model: treatment HR=0.65 (p=.004, 95% CI [0.49,0.87]). a) Interpret HR. b) Significant? c) What does CI mean?</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8. [Open question] (3 Pts.) </w:t>
      </w:r>
      <w:r>
        <w:rPr>
          <w:rFonts w:ascii="Calibri" w:hAnsi="Calibri"/>
          <w:sz w:val="20"/>
        </w:rPr>
        <w:t>PH test for "age" significant (p=.02). a) Meaning? b) Three options?</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9. [Open question] (4 Pts.) </w:t>
      </w:r>
      <w:r>
        <w:rPr>
          <w:rFonts w:ascii="Calibri" w:hAnsi="Calibri"/>
          <w:sz w:val="20"/>
        </w:rPr>
        <w:t>Cox vs Weibull model — compare. When use each?</w:t>
      </w:r>
    </w:p>
    <w:p>
      <w:pPr>
        <w:spacing w:before="0" w:after="80"/>
      </w:pPr>
      <w:r>
        <w:rPr>
          <w:color w:val="FF6600"/>
          <w:sz w:val="6"/>
        </w:rPr>
        <w:t>________________________________________________________________________________</w:t>
      </w:r>
    </w:p>
    <w:p>
      <w:pPr>
        <w:spacing w:before="160" w:after="80"/>
      </w:pPr>
      <w:r>
        <w:rPr>
          <w:rFonts w:ascii="Calibri" w:hAnsi="Calibri"/>
          <w:b/>
          <w:color w:val="14213D"/>
          <w:sz w:val="20"/>
        </w:rPr>
        <w:t xml:space="preserve">10. [Open question] (3 Pts.) </w:t>
      </w:r>
      <w:r>
        <w:rPr>
          <w:rFonts w:ascii="Calibri" w:hAnsi="Calibri"/>
          <w:sz w:val="20"/>
        </w:rPr>
        <w:t>What is competing risks? Why does Cox fail? Alternative?</w:t>
      </w:r>
    </w:p>
    <w:p>
      <w:pPr>
        <w:spacing w:before="0" w:after="80"/>
      </w:pPr>
      <w:r>
        <w:rPr>
          <w:color w:val="FF6600"/>
          <w:sz w:val="6"/>
        </w:rPr>
        <w:t>________________________________________________________________________________</w:t>
      </w:r>
    </w:p>
    <w:p>
      <w:r>
        <w:br w:type="page"/>
      </w:r>
    </w:p>
    <w:p>
      <w:pPr>
        <w:jc w:val="center"/>
      </w:pPr>
      <w:r>
        <w:rPr>
          <w:rFonts w:ascii="Calibri" w:hAnsi="Calibri"/>
          <w:b/>
          <w:sz w:val="32"/>
        </w:rPr>
        <w:t>LÖSUNGEN / SOLUTIONS</w:t>
      </w:r>
    </w:p>
    <w:p>
      <w:pPr>
        <w:jc w:val="center"/>
      </w:pPr>
      <w:r>
        <w:rPr>
          <w:rFonts w:ascii="Calibri" w:hAnsi="Calibri"/>
          <w:i/>
          <w:color w:val="999999"/>
          <w:sz w:val="20"/>
        </w:rPr>
        <w:t>-- Zur Selbstkontrolle --</w:t>
      </w:r>
    </w:p>
    <w:p/>
    <w:p>
      <w:pPr>
        <w:spacing w:before="80" w:after="20"/>
      </w:pPr>
      <w:r>
        <w:rPr>
          <w:rFonts w:ascii="Calibri" w:hAnsi="Calibri"/>
          <w:b/>
          <w:color w:val="FF6600"/>
          <w:sz w:val="19"/>
        </w:rPr>
        <w:t xml:space="preserve">1. </w:t>
      </w:r>
      <w:r>
        <w:rPr>
          <w:rFonts w:ascii="Calibri" w:hAnsi="Calibri"/>
          <w:color w:val="4F6D8A"/>
          <w:sz w:val="19"/>
        </w:rPr>
        <w:t>a) 62 % der Patienten überleben mindestens 12 Monate (unter Beruecksichtigung der Zensierung). b) Überlebenszeiten sind meist rechtsschief und Mittelwert durch Zensierung nicht schaetzbar (falls letzte Ereigniszeit vor Studienende). Der Median ist robust und immer schaetzbar.</w:t>
      </w:r>
    </w:p>
    <w:p>
      <w:pPr>
        <w:spacing w:before="80" w:after="20"/>
      </w:pPr>
      <w:r>
        <w:rPr>
          <w:rFonts w:ascii="Calibri" w:hAnsi="Calibri"/>
          <w:b/>
          <w:color w:val="FF6600"/>
          <w:sz w:val="19"/>
        </w:rPr>
        <w:t xml:space="preserve">2. </w:t>
      </w:r>
      <w:r>
        <w:rPr>
          <w:rFonts w:ascii="Calibri" w:hAnsi="Calibri"/>
          <w:color w:val="4F6D8A"/>
          <w:sz w:val="19"/>
        </w:rPr>
        <w:t>a) Das Risiko zu sterben ist in der Behandlungsgruppe 35 % niedriger als in der Kontrollgruppe (1-0,65). b) Ja, p&lt;0,05. c) Mit 95 % Konfidenz liegt das wahre HR zwischen 0,49 und 0,87 — der Effekt ist signifikant, da 1 nicht im KI liegt.</w:t>
      </w:r>
    </w:p>
    <w:p>
      <w:pPr>
        <w:spacing w:before="80" w:after="20"/>
      </w:pPr>
      <w:r>
        <w:rPr>
          <w:rFonts w:ascii="Calibri" w:hAnsi="Calibri"/>
          <w:b/>
          <w:color w:val="FF6600"/>
          <w:sz w:val="19"/>
        </w:rPr>
        <w:t xml:space="preserve">3. </w:t>
      </w:r>
      <w:r>
        <w:rPr>
          <w:rFonts w:ascii="Calibri" w:hAnsi="Calibri"/>
          <w:color w:val="4F6D8A"/>
          <w:sz w:val="19"/>
        </w:rPr>
        <w:t>a) Die PH-Annahme ist fuer Alter verletzt: Der Effekt von Alter auf den Hazard aendert sich über die Zeit. b) 1. Stratifizierung nach Alter (wenn Alter nicht von Interesse). 2. Zeitabhaengige Kovariable: Alter * log(t) ins Modell aufnehmen. 3. Parametrische Alternative (Weibull, log-normal).</w:t>
      </w:r>
    </w:p>
    <w:p>
      <w:pPr>
        <w:spacing w:before="80" w:after="20"/>
      </w:pPr>
      <w:r>
        <w:rPr>
          <w:rFonts w:ascii="Calibri" w:hAnsi="Calibri"/>
          <w:b/>
          <w:color w:val="FF6600"/>
          <w:sz w:val="19"/>
        </w:rPr>
        <w:t xml:space="preserve">4. </w:t>
      </w:r>
      <w:r>
        <w:rPr>
          <w:rFonts w:ascii="Calibri" w:hAnsi="Calibri"/>
          <w:color w:val="4F6D8A"/>
          <w:sz w:val="19"/>
        </w:rPr>
        <w:t>Cox: semi-parametrisch, schaetzt h0(t) nicht (keine Verteilungsannahme). Vorteil: robuster. Nachteil: weniger effizient wenn Verteilung bekannt. Weibull: parametrisch, nimmt monotone Hazardfunktion an (h(t)=lambda*p*t^{p-1}). Vorteil: vollstaendige Likelihood, Vorhersagen möglich. Wann: Weibull wenn Hazard monoton; Cox wenn Verteilung unbekannt oder PH-Annahme wichtig.</w:t>
      </w:r>
    </w:p>
    <w:p>
      <w:pPr>
        <w:spacing w:before="80" w:after="20"/>
      </w:pPr>
      <w:r>
        <w:rPr>
          <w:rFonts w:ascii="Calibri" w:hAnsi="Calibri"/>
          <w:b/>
          <w:color w:val="FF6600"/>
          <w:sz w:val="19"/>
        </w:rPr>
        <w:t xml:space="preserve">5. </w:t>
      </w:r>
      <w:r>
        <w:rPr>
          <w:rFonts w:ascii="Calibri" w:hAnsi="Calibri"/>
          <w:color w:val="4F6D8A"/>
          <w:sz w:val="19"/>
        </w:rPr>
        <w:t>Competing risks = mehrere Ereignisarten (z. B. Tod durch Krebs vs. Tod durch Herzinfarkt). Standard-Cox behandelt andere Ereignisarten als Zensierung — das unterschatzt die kumulative Inzidenz. Alternative: Cause-Specific Hazards oder Fine-Gray-Modell (Subdistribution Hazard).</w:t>
      </w:r>
    </w:p>
    <w:p>
      <w:pPr>
        <w:spacing w:before="80" w:after="20"/>
      </w:pPr>
      <w:r>
        <w:rPr>
          <w:rFonts w:ascii="Calibri" w:hAnsi="Calibri"/>
          <w:b/>
          <w:color w:val="FF6600"/>
          <w:sz w:val="19"/>
        </w:rPr>
        <w:t xml:space="preserve">6. </w:t>
      </w:r>
      <w:r>
        <w:rPr>
          <w:rFonts w:ascii="Calibri" w:hAnsi="Calibri"/>
          <w:color w:val="4F6D8A"/>
          <w:sz w:val="19"/>
        </w:rPr>
        <w:t>a) 62% survive at least 12 months (accounting for censoring). b) Survival times right-skewed; mean not estimable with censoring.</w:t>
      </w:r>
    </w:p>
    <w:p>
      <w:pPr>
        <w:spacing w:before="80" w:after="20"/>
      </w:pPr>
      <w:r>
        <w:rPr>
          <w:rFonts w:ascii="Calibri" w:hAnsi="Calibri"/>
          <w:b/>
          <w:color w:val="FF6600"/>
          <w:sz w:val="19"/>
        </w:rPr>
        <w:t xml:space="preserve">7. </w:t>
      </w:r>
      <w:r>
        <w:rPr>
          <w:rFonts w:ascii="Calibri" w:hAnsi="Calibri"/>
          <w:color w:val="4F6D8A"/>
          <w:sz w:val="19"/>
        </w:rPr>
        <w:t>a) 35% lower risk in treatment group. b) Yes. c) 95% CI [0.49,0.87] excludes 1.</w:t>
      </w:r>
    </w:p>
    <w:p>
      <w:pPr>
        <w:spacing w:before="80" w:after="20"/>
      </w:pPr>
      <w:r>
        <w:rPr>
          <w:rFonts w:ascii="Calibri" w:hAnsi="Calibri"/>
          <w:b/>
          <w:color w:val="FF6600"/>
          <w:sz w:val="19"/>
        </w:rPr>
        <w:t xml:space="preserve">8. </w:t>
      </w:r>
      <w:r>
        <w:rPr>
          <w:rFonts w:ascii="Calibri" w:hAnsi="Calibri"/>
          <w:color w:val="4F6D8A"/>
          <w:sz w:val="19"/>
        </w:rPr>
        <w:t>a) PH violated: age effect changes over time. b) Stratify; time-dependent covariate; parametric model.</w:t>
      </w:r>
    </w:p>
    <w:p>
      <w:pPr>
        <w:spacing w:before="80" w:after="20"/>
      </w:pPr>
      <w:r>
        <w:rPr>
          <w:rFonts w:ascii="Calibri" w:hAnsi="Calibri"/>
          <w:b/>
          <w:color w:val="FF6600"/>
          <w:sz w:val="19"/>
        </w:rPr>
        <w:t xml:space="preserve">9. </w:t>
      </w:r>
      <w:r>
        <w:rPr>
          <w:rFonts w:ascii="Calibri" w:hAnsi="Calibri"/>
          <w:color w:val="4F6D8A"/>
          <w:sz w:val="19"/>
        </w:rPr>
        <w:t>Cox: semi-parametric, robust, no distribution assumption. Weibull: parametric, full likelihood, predictions.</w:t>
      </w:r>
    </w:p>
    <w:p>
      <w:pPr>
        <w:spacing w:before="80" w:after="20"/>
      </w:pPr>
      <w:r>
        <w:rPr>
          <w:rFonts w:ascii="Calibri" w:hAnsi="Calibri"/>
          <w:b/>
          <w:color w:val="FF6600"/>
          <w:sz w:val="19"/>
        </w:rPr>
        <w:t xml:space="preserve">10. </w:t>
      </w:r>
      <w:r>
        <w:rPr>
          <w:rFonts w:ascii="Calibri" w:hAnsi="Calibri"/>
          <w:color w:val="4F6D8A"/>
          <w:sz w:val="19"/>
        </w:rPr>
        <w:t>Multiple event types. Cox treats other events as censoring — underestimates cumulative incidence. Fine-Gray model.</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Prüfung: Ueberlebenszeitanalyse</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