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Modellierung kausaler Effekte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Strukturen in Daten ohne Zielvariable finden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Vorhersage einer Zielvariablen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Testen von Hypothesen</w:t>
      </w:r>
    </w:p>
    <w:p>
      <w:pPr>
        <w:spacing w:before="200"/>
      </w:pPr>
      <w:r>
        <w:rPr>
          <w:rFonts w:ascii="Calibri" w:hAnsi="Calibri"/>
          <w:b/>
          <w:sz w:val="20"/>
        </w:rPr>
        <w:t>2. Welches Verfahren gehört zum Clustering?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Logistische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das Ziel von PCA?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Dimensionsreduktion unter Varianzerhalt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Klassifikation von Daten</w:t>
      </w:r>
    </w:p>
    <w:p>
      <w:pPr>
        <w:spacing w:before="200"/>
      </w:pPr>
      <w:r>
        <w:rPr>
          <w:rFonts w:ascii="Calibri" w:hAnsi="Calibri"/>
          <w:b/>
          <w:sz w:val="20"/>
        </w:rPr>
        <w:t>4. Wie wird die optimale Clusterzahl bei k-Means bestimmt?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Durch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Durch Signifikanztest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Durch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Elbow-Methode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Klassifikationsmethode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dichtebasiertes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Regressionsverfahren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dimensionsreduktionsverfahren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t-SNE?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Signifikanzprüfung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Zum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Visualisierung hochdimensionaler Daten in 2D/3D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Silhoütten-Koeffizient?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Mass für die Güte eines Clusterings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bedeuten negative Silhoütten-Koeffizienten?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Clusterzahl ist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Objekte sind im falschen Cluster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Clustering ist perfekt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