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Quasi-experimentelle Designs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Standard-Niveau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Ein Bundesland führt 2020 ein BGE ein (Treatment), ein Nachbarland nicht (Kontrolle). a) Skizziere ein DiD-Design. b) Welche zentrale Annahme? c) Wie testest du sie? d) Was tust du bei verletzter Annahme?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Stipendium ab Notenschnitt 2,5. a) Skizziere RDD. b) Welche Bandbreite? c) Was bedeutet ein signifikanter Sprung an der cut-off? d) Welche Gefahr droht?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IV: Entfernung zur Impfstation (Z) beeinflusst Impfstatus (X), aber nicht direkt Gesundheit (Y). a) Ist Z ein valides Instrument? b) Welche Annahme ist am ehesten verletzt? c) Wie testest du die Relevanz?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Nach PSM hast du einen Datensatz mit 200 Behandelten und 200 Kontrollen. a) Welche Balance-Check-Metrik berichtest du? b) Was ist "Common Support"? c) Wann versagt PSM?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[Vergleichsaufgabe] (3 Pkt.) </w:t>
      </w:r>
      <w:r>
        <w:rPr>
          <w:rFonts w:ascii="Calibri" w:hAnsi="Calibri"/>
          <w:sz w:val="20"/>
        </w:rPr>
        <w:t>Vergleiche DiD, RDD, IV und PSM hinsichtlich ihrer identifizierenden Annahme. Welches Design ist am glaubwuerdigsten fuer kausale Inferenz?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State introduces UBI in 2020 (treatment), neighbor state control. a) DiD design? b) Key assumption? c) How to test? d) If violated?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Scholarship at grade cutoff 2.5. a) RDD sketch. b) Bandwidth? c) Significant jump meaning? d) Danger?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IV: distance to vaccination center (Z) affects vaccination (X), not health (Y). Valid? Most violated assumption? Relevance test?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PSM: 200 treated, 200 controls. a) Balance metric? b) Common support? c) When does PSM fail?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[Comparison] (3 Pts.) </w:t>
      </w:r>
      <w:r>
        <w:rPr>
          <w:rFonts w:ascii="Calibri" w:hAnsi="Calibri"/>
          <w:sz w:val="20"/>
        </w:rPr>
        <w:t>Compare DiD, RDD, IV, PSM identifying assumptions. Which most credible for causal inference?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AV: Arbeitslosigkeit/Einkommen. Daten: 2018-2022 (vor/nach). DiD = (Y_T_post - Y_T_pre) - (Y_C_post - Y_C_pre). b) Gemeinsamer Trend: Ohne BGE hätte sich Treatment parallel zu Kontrolle entwickelt. c) Placebo-Test: Behandlungszeitraum vorverlegen (2019 statt 2020) — wenn signifikant, Parallel Trends unwahrscheinlich. d) Synthetic Control, Event-Study, oder DiD mit gewichteten Kontrollen.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Zuteilungsvariable = Notenschnitt, cut-off=2,5. AV = Abschlussnote/Studiendauer. Schaetzung: lokale lineare Regression beidseits cut-off. b) MSE-optimale Bandbreite (rdrobust), Donut-RDD zum Ausschluss direkt am cut-off. c) Kausaler Effekt des Stipendiums auf die AV. d) Manipulation der Zuteilungsvariable (Note wird aufgerundet) McCrary-Test.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Valide wenn Ausschlussrestriktion gilt. b) Ausschlussrestriktion: Entfernung koennte auch über andere Wege Gesundheit beeinflussen (z. B. laengere Anfahrt = geringere Arztbesuche). c) F-Statistik aus Regression X ~ Z: F &gt; 10 = relevant.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Standardisierte Mittelwertsdifferenz (SMD) vor/nach Matching. SMD &lt; 0,1 = gute Balance. b) Common Support = Überlappung der Propensity Scores beider Gruppen. Beobachtungen ausserhalb des Überlappungsbereichs werden ausgeschlossen. c) Bei unbeobachteten Stoerfaktoren (CIA verletzt) oder zu wenig Überlappung.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DiD: Parallel Trends (testbar via Placebo). RDD: Kontinuitaet (testbar via McCrary). IV: Ausschlussrestriktion (nicht testbar). PSM: CIA (nicht testbar). Am glaubwuerdigsten: RDD wegen Quasi-Randomisierung nahe cut-off und testbarer Annahmen. Aber jedes Design ist nur so gut wie seine Anwendung.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a) DV: unemployment/income. 2018-2022 data. b) Parallel trends. c) Placebo test: shift treatment to 2019. d) Synthetic control, event study.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Running variable: grade, cutoff 2.5. Local linear regression. b) MSE-optimal bandwidth (rdrobust). c) Causal effect of scholarship. d) Manipulation of running variable (McCrary test).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Exclusion restriction most likely violated. F&gt;10 test.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a) SMD &lt; 0.1. b) Propensity score overlap. c) Unobserved confounders (CIA violated).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RDD most credible due to quasi-randomization near cutoff + testable assumptions.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Quasi-experimentelle Designs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