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Quasi-experimentelle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Standard-Niveau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Quasi-experimentelle Designs werden eingesetzt, wenn eine Randomisierung nicht möglich oder ethisch nicht vertretbar ist. Anders als bei RCTs erfolgt die Zuweisung zu Treatment/Kontrolle nicht zufaellig, sondern durch ein natuerliches Ereignis, eine politische Massnahme oder eine cut-off-Regel.</w:t>
      </w:r>
    </w:p>
    <w:p>
      <w:pPr>
        <w:spacing w:before="40" w:after="80"/>
      </w:pPr>
      <w:r>
        <w:rPr>
          <w:rFonts w:ascii="Calibri" w:hAnsi="Calibri"/>
          <w:sz w:val="19"/>
        </w:rPr>
        <w:t>Zentrale Herausforderung: Selection Bias — die Treatment- und Kontrollgruppe unterscheiden sich systematisch in beobachteten und unbeobachteten Merkmalen. Vier Standardmethoden adressieren dies: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Difference-in-Differences (DiD)</w:t>
      </w:r>
    </w:p>
    <w:p>
      <w:pPr>
        <w:spacing w:before="40" w:after="80"/>
      </w:pPr>
      <w:r>
        <w:rPr>
          <w:rFonts w:ascii="Calibri" w:hAnsi="Calibri"/>
          <w:sz w:val="19"/>
        </w:rPr>
        <w:t>Vergleicht die Veränderung der AV in der Treatmentgruppe vor/nach der Intervention mit der Veränderung in der Kontrollgruppe. Annahme: Gemeinsamer Trend (parallel trends) — ohne Intervention hätte sich die Treatmentgruppe parallel zur Kontrollgruppe entwickelt. DiD = (Y_T_post - Y_T_pre) - (Y_C_post - Y_C_pre). Standardfehler müssen auf Clusterebene (Treatmentgruppe) korrigiert werden.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Regression Discontinuity Design (RDD)</w:t>
      </w:r>
    </w:p>
    <w:p>
      <w:pPr>
        <w:spacing w:before="40" w:after="80"/>
      </w:pPr>
      <w:r>
        <w:rPr>
          <w:rFonts w:ascii="Calibri" w:hAnsi="Calibri"/>
          <w:sz w:val="19"/>
        </w:rPr>
        <w:t>Die Treatmentzuteilung erfolgt durch eine cut-off-Regel auf einer kontinuierlichen Zuteilungsvariable (z. B. Schwellwert fuer Stipendium). Der kausale Effekt wird als Sprung an der cut-off geschaetzt, wobei beidseits des cut-offs die Beobachtungen als "quasi-randomisiert" gelten. Annahmen: Kontinuitaet der Erwartungswerte, kein "Bunching" (kein Manipulieren der Zuteilungsvariable).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Instrumentenvariablen (IV / 2SLS)</w:t>
      </w:r>
    </w:p>
    <w:p>
      <w:pPr>
        <w:spacing w:before="40" w:after="80"/>
      </w:pPr>
      <w:r>
        <w:rPr>
          <w:rFonts w:ascii="Calibri" w:hAnsi="Calibri"/>
          <w:sz w:val="19"/>
        </w:rPr>
        <w:t>Ein Instrument Z beeinflusst die Treatmentvariable X, aber nicht direkt die AV Y (Ausschlussrestriktion). Der kausale Effekt wird als beta_IV = Cov(Z,Y)/Cov(Z,X) geschaetzt. Annahmen: Relevanz (Z korreliert mit X), Ausschlussrestriktion (Z nur über X auf Y), Monotonie (keine "Defiers").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Propensity Score Matching (PSM)</w:t>
      </w:r>
    </w:p>
    <w:p>
      <w:pPr>
        <w:spacing w:before="40" w:after="80"/>
      </w:pPr>
      <w:r>
        <w:rPr>
          <w:rFonts w:ascii="Calibri" w:hAnsi="Calibri"/>
          <w:sz w:val="19"/>
        </w:rPr>
        <w:t>Jeder Treatment-Beobachtung wird eine Kontrollbeobachtung mit ähnlicher Treatmentwahrscheinlichkeit (Propensity Score) zugeordnet. Reduziert beobachtbare Unterschiede zwischen den Gruppen. Verfahren: Nearest-Neighbor, Caliper, Kernel Matching. Nach Matching: Balance-Check via standardisierte Mittelwertsdifferenzen.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 und Politikwissenschaft</w:t>
      </w:r>
    </w:p>
    <w:p>
      <w:pPr>
        <w:spacing w:before="40" w:after="80"/>
      </w:pPr>
      <w:r>
        <w:rPr>
          <w:rFonts w:ascii="Calibri" w:hAnsi="Calibri"/>
          <w:sz w:val="19"/>
        </w:rPr>
        <w:t>DiD: Mindestlohn-Einfuehrung in einem Bundesland (Treatment) vs. Nachbarbundesland (Kontrolle). AV: Arbeitslosigkeit. DiD schaetzt kausalen Effekt der Mindestlohnerhoehung.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RDD: Studierende mit einem Notenschnitt unter 2,0 erhalten ein Stipendium. Cut-off bei 2,0. Effekt des Stipendiums auf Abschlussnote = Sprung an der cut-off.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 und Gesundheitswissenschaften</w:t>
      </w:r>
    </w:p>
    <w:p>
      <w:pPr>
        <w:spacing w:before="40" w:after="80"/>
      </w:pPr>
      <w:r>
        <w:rPr>
          <w:rFonts w:ascii="Calibri" w:hAnsi="Calibri"/>
          <w:sz w:val="19"/>
        </w:rPr>
        <w:t>IV: Gesundheitsverhalten (X, z. B. Impfung) ist endogen (Gesuendere lassen sich eher impfen). Instrument: Entfernung zur naechsten Impfstation (Z) beeinflusst Impfstatus, aber nicht direkt die Gesundheit (Y).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PSM: Vergleich von digital vs. analog unterrichteten Studierenden. Matching auf Propensity Score (Alter, Vorwissen, Studienfach) reduziert Selektionsbias.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DiD: Einfuehrung eines Trainingsprogramms in einer Schule (Treatment) vs. vergleichbare Schule ohne Programm (Kontrolle). AV: Fitnessscore. Gemeinsamer Trend vor Intervention geprueft.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DiD: Gemeinsamer Trend, keine Asu (asymmetrischen shocks), stabile Gruppenzusammensetzung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RDD: Kontinuitaet der bedingten Erwartungswerte, kein Manipulieren der Zuteilungsvariable (McCrary-Test)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IV: Relevanz (F-Statistik &gt; 10), Ausschlussrestriktion (nicht testbar, muss begründet sein), Monotonie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PSM: Conditional Independence Assumption (CIA) — keine unbeobachteten Stoerfaktoren, common support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Gemeinsamkeiten aller Verfahren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Sensitivitaetsanalysen sind zwingend (Placebo-Tests, andere Spezifikationen, Subgruppen)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Kausale Interpretation erfordert theoriegeleitete Begruendung der Annahmen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Cluster-robuste Standardfehler auf Interventionsebene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Design benennen (DiD/RDD/IV/PSM) und die identifizierende Annahme explizit formulieren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Ergebnis: Kausaler Effekt mit 95%-KI, nicht nur p-Wert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Balance-Check vor/nach Matching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Sensitivitaetsanalyse: Placebo-Test (fiktiver Zeitpunkt), andere Bandbreite (RDD), andere Matcher (PSM)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Grafiken: Parallel Trends (DiD), RDD-Plot mit bins, Density der Propensity Scores (PSM)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DiD: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library(did)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Callaway &amp; Sant'Anna (2021)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did_result &lt;- att_gt(yname="y", tname="year", idname="id", gname="first_treat",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summary(did_result)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ggdid(did_result)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Manuell: Interaktion Post*Treatment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lm(y ~ post*treat + factor(id) + factor(year), data=df)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RDD: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library(rdrobust)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rdrobust(y ~ x, c=cutoff,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Bandbreitenwahl via MSE-optimal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rdplot(y ~ x, c=cutoff, data=df)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IV: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library(AER)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ivreg(y ~ x | z,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Relevanz: F-Statistik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summary(ivreg(x ~ z, data=df))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PSM: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library(MatchIt)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m.out &lt;- matchit(treat ~ x1 + x2, data=df, method="nearest", ratio=1)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summary(m.out)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match.data(m.out)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DiD: linearmodels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linearmodels.panel import PanelOLS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RDD: rdrobust hat Python-Wrapper (rdrobust)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IV: linearmodels IV2SLS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linearmodels.iv import IV2SLS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PSM: sklearn.neighbors + logistic regression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Verallgemeinerte DiD (Callaway &amp; Sant'Anna 2021)</w:t>
      </w:r>
    </w:p>
    <w:p>
      <w:pPr>
        <w:spacing w:before="40" w:after="80"/>
      </w:pPr>
      <w:r>
        <w:rPr>
          <w:rFonts w:ascii="Calibri" w:hAnsi="Calibri"/>
          <w:sz w:val="19"/>
        </w:rPr>
        <w:t>Behandelt heterogene Treatment-Effekte über Zeit und Gruppen. Erlaubt unterschiedliche Startzeitpunkte (staggered adoption). Baut auf att_gt (group-time average treatment effect on the treated).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Fuzzy RDD</w:t>
      </w:r>
    </w:p>
    <w:p>
      <w:pPr>
        <w:spacing w:before="40" w:after="80"/>
      </w:pPr>
      <w:r>
        <w:rPr>
          <w:rFonts w:ascii="Calibri" w:hAnsi="Calibri"/>
          <w:sz w:val="19"/>
        </w:rPr>
        <w:t>Wenn die Treatmentwahrscheinlichkeit an der cut-off nicht von 0 auf 1 springt, sondern nur um einen Faktor steigt. Dann ist RDD ein IV-Design mit Instrument "oberhalb des cut-offs".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Synthetic Control Method</w:t>
      </w:r>
    </w:p>
    <w:p>
      <w:pPr>
        <w:spacing w:before="40" w:after="80"/>
      </w:pPr>
      <w:r>
        <w:rPr>
          <w:rFonts w:ascii="Calibri" w:hAnsi="Calibri"/>
          <w:sz w:val="19"/>
        </w:rPr>
        <w:t>Alternative zu DiD fuer eine einzelne Treatment-Einheit (z. B. ein Land). Gewichtet Kontrolleinheiten so, dass der synthetische Kontrollverlauf dem Treatmentverlauf vor der Intervention möglichst genau folgt.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Causal Forest (Machine Learning)</w:t>
      </w:r>
    </w:p>
    <w:p>
      <w:pPr>
        <w:spacing w:before="40" w:after="80"/>
      </w:pPr>
      <w:r>
        <w:rPr>
          <w:rFonts w:ascii="Calibri" w:hAnsi="Calibri"/>
          <w:sz w:val="19"/>
        </w:rPr>
        <w:t>Wald-basierte Heterogenitaet der Treatment-Effekte. Schatzt individuelle Treatment-Effekte (CATE) via Random Forest mit kausaler Zielfunktion (Athey &amp; Imbens 2016).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Bundesland führt 2020 ein Bedingungsloses Grundeinkommen (BGE) ein (Treatment). Skizziere ein DiD-Design: Welche Kontrollgruppe? Welche AV? Welche Annahme? Wie testest du die Annahme?</w:t>
      </w:r>
    </w:p>
    <w:p>
      <w:pPr>
        <w:spacing w:before="40" w:after="80"/>
      </w:pPr>
      <w:r>
        <w:rPr>
          <w:rFonts w:ascii="Calibri" w:hAnsi="Calibri"/>
          <w:sz w:val="19"/>
        </w:rPr>
        <w:t>Aufgabe 2: Ein Stipendium wird ab einem Notenschnitt von 2,5 vergeben. a) Skizziere ein RDD. b) Welche Bandbreite waehlst du? c) Wie interpretierst du einen signifikanten Sprung an der cut-off?</w:t>
      </w:r>
    </w:p>
    <w:p>
      <w:pPr>
        <w:spacing w:before="40" w:after="80"/>
      </w:pPr>
      <w:r>
        <w:rPr>
          <w:rFonts w:ascii="Calibri" w:hAnsi="Calibri"/>
          <w:sz w:val="19"/>
        </w:rPr>
        <w:t>Aufgabe 3: Ein Instrument Z (Woerterbuchverfuegbarkeit) beeinflusst die Lernzeit X, aber nicht direkt die Klausurnote Y. a) Ist Z ein validen Instrument? b) Welche Annahme ist potentiell verletzt?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