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Quasi-Experimental Designs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Standard Level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Quasi-experimental designs address causal inference when randomization is infeasible. Four key approaches: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Difference-in-Differences (DiD)</w:t>
      </w:r>
    </w:p>
    <w:p>
      <w:pPr>
        <w:spacing w:before="40" w:after="80"/>
      </w:pPr>
      <w:r>
        <w:rPr>
          <w:rFonts w:ascii="Calibri" w:hAnsi="Calibri"/>
          <w:sz w:val="19"/>
        </w:rPr>
        <w:t>Compares change in treatment group before/after intervention vs change in control. Assumption: parallel trends. DiD = (Y_T_post - Y_T_pre) - (Y_C_post - Y_C_pre).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Regression Discontinuity (RDD)</w:t>
      </w:r>
    </w:p>
    <w:p>
      <w:pPr>
        <w:spacing w:before="40" w:after="80"/>
      </w:pPr>
      <w:r>
        <w:rPr>
          <w:rFonts w:ascii="Calibri" w:hAnsi="Calibri"/>
          <w:sz w:val="19"/>
        </w:rPr>
        <w:t>Assignment by cutoff on running variable. Causal effect = discontinuity at cutoff. Assumption: continuity of conditional expectations, no manipulation.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Instrumental Variables (IV)</w:t>
      </w:r>
    </w:p>
    <w:p>
      <w:pPr>
        <w:spacing w:before="40" w:after="80"/>
      </w:pPr>
      <w:r>
        <w:rPr>
          <w:rFonts w:ascii="Calibri" w:hAnsi="Calibri"/>
          <w:sz w:val="19"/>
        </w:rPr>
        <w:t>Z affects treatment X but not outcome Y (exclusion restriction). beta_IV = Cov(Z,Y)/Cov(Z,X). Assumptions: relevance, exclusion, monotonicity.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Propensity Score Matching (PSM)</w:t>
      </w:r>
    </w:p>
    <w:p>
      <w:pPr>
        <w:spacing w:before="40" w:after="80"/>
      </w:pPr>
      <w:r>
        <w:rPr>
          <w:rFonts w:ascii="Calibri" w:hAnsi="Calibri"/>
          <w:sz w:val="19"/>
        </w:rPr>
        <w:t>Match treated to controls on propensity score P(T=1|X). Reduces observable differences.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Social Sciences: DiD on minimum wage introduction (treatment state vs neighbor state).</w:t>
      </w:r>
    </w:p>
    <w:p>
      <w:pPr>
        <w:spacing w:before="40" w:after="80"/>
      </w:pPr>
      <w:r>
        <w:rPr>
          <w:rFonts w:ascii="Calibri" w:hAnsi="Calibri"/>
          <w:sz w:val="19"/>
        </w:rPr>
        <w:t>Economics: RDD on scholarship cutoff grade 2.0 -&gt; effect on graduation grade.</w:t>
      </w:r>
    </w:p>
    <w:p>
      <w:pPr>
        <w:spacing w:before="40" w:after="80"/>
      </w:pPr>
      <w:r>
        <w:rPr>
          <w:rFonts w:ascii="Calibri" w:hAnsi="Calibri"/>
          <w:sz w:val="19"/>
        </w:rPr>
        <w:t>Medicine: IV — distance to vaccination center affects vaccination status but not health.</w:t>
      </w:r>
    </w:p>
    <w:p>
      <w:pPr>
        <w:spacing w:before="40" w:after="80"/>
      </w:pPr>
      <w:r>
        <w:rPr>
          <w:rFonts w:ascii="Calibri" w:hAnsi="Calibri"/>
          <w:sz w:val="19"/>
        </w:rPr>
        <w:t>Sports Sciences: DiD on training program in school vs matched control school.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DiD: parallel trends, no asymmetric shocks, stable group composition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RDD: continuity, no manipulation (McCrary test), appropriate bandwidth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IV: relevance (F&gt;10), exclusion restriction (untestable), monotonicity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PSM: conditional independence (no unobserved confounders), common support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and Reporting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Name design and state identifying assumption explicitly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Report causal effect with 95% CI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Balance checks before/after matching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Sensitivity: placebo tests, different bandwidths/matchers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Graphics: parallel trends, RDD plot, propensity score density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did::att_gt(y ~ post*treat + id + year)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rdrobust::rdrobust(y ~ x, c=cutoff)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AER::ivreg(y ~ x | z)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MatchIt::matchit(treat ~ x1 + x2)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linearmodels: PanelOLS, IV2SLS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rdrobust Python wrapper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Callaway &amp; Sant'Anna (2021) Generalized DiD</w:t>
      </w:r>
    </w:p>
    <w:p>
      <w:pPr>
        <w:spacing w:before="40" w:after="80"/>
      </w:pPr>
      <w:r>
        <w:rPr>
          <w:rFonts w:ascii="Calibri" w:hAnsi="Calibri"/>
          <w:sz w:val="19"/>
        </w:rPr>
        <w:t>Handles staggered adoption, heterogeneous treatment effects.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Fuzzy RDD</w:t>
      </w:r>
    </w:p>
    <w:p>
      <w:pPr>
        <w:spacing w:before="40" w:after="80"/>
      </w:pPr>
      <w:r>
        <w:rPr>
          <w:rFonts w:ascii="Calibri" w:hAnsi="Calibri"/>
          <w:sz w:val="19"/>
        </w:rPr>
        <w:t>When treatment probability jumps by &lt;1 at cutoff. Becomes IV design.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Synthetic Control</w:t>
      </w:r>
    </w:p>
    <w:p>
      <w:pPr>
        <w:spacing w:before="40" w:after="80"/>
      </w:pPr>
      <w:r>
        <w:rPr>
          <w:rFonts w:ascii="Calibri" w:hAnsi="Calibri"/>
          <w:sz w:val="19"/>
        </w:rPr>
        <w:t>For single treated unit. Weighted control units match pre-treatment trend.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Causal Forest</w:t>
      </w:r>
    </w:p>
    <w:p>
      <w:pPr>
        <w:spacing w:before="40" w:after="80"/>
      </w:pPr>
      <w:r>
        <w:rPr>
          <w:rFonts w:ascii="Calibri" w:hAnsi="Calibri"/>
          <w:sz w:val="19"/>
        </w:rPr>
        <w:t>ML-based heterogeneous treatment effects (CATE).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Exercise 1: State introduces universal basic income in 2020. Sketch DiD: control group? DV? Assumptions tested how?</w:t>
      </w:r>
    </w:p>
    <w:p>
      <w:pPr>
        <w:spacing w:before="40" w:after="80"/>
      </w:pPr>
      <w:r>
        <w:rPr>
          <w:rFonts w:ascii="Calibri" w:hAnsi="Calibri"/>
          <w:sz w:val="19"/>
        </w:rPr>
        <w:t>Exercise 2: Scholarship at grade cutoff 2.5. a) RDD sketch. b) Bandwidth choice? c) Interpret significant jump at cutoff.</w:t>
      </w:r>
    </w:p>
    <w:p>
      <w:pPr>
        <w:spacing w:before="40" w:after="80"/>
      </w:pPr>
      <w:r>
        <w:rPr>
          <w:rFonts w:ascii="Calibri" w:hAnsi="Calibri"/>
          <w:sz w:val="19"/>
        </w:rPr>
        <w:t>Exercise 3: Z (dictionary availability) affects study time X but not exam grade Y directly. Valid instrument? Which assumption potentially violated?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Quasi-Experimental Designs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