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Strukturgleichungsmodelle (SEM)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SEM-Fit: CFI=0,88, RMSEA=0,09, SRMR=0,07, n=250, 30 freie Parameter. a) Fit akzeptabel? b) Verbesserung? c) Modifikationsindizes?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(4 Pkt.) </w:t>
      </w:r>
      <w:r>
        <w:rPr>
          <w:rFonts w:ascii="Calibri" w:hAnsi="Calibri"/>
          <w:sz w:val="20"/>
        </w:rPr>
        <w:t>Mediation X-&gt;M-&gt;Y: a=0,45***, b=0,32**, c'=0,12 (ns). a) Vollstaendige oder partielle Mediation? b) Wie indirekten Effekt testen?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Fragebogenvergleich über 2 Altersgruppen. a) Welche Invarianzstufen testen? b) Was wenn metrische Invarianz fehlt? c) Alternativen?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Erklaere den Unterschied zwischen einem reflektiven und einem formativen Messmodell. Gib je ein Beispiel.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Wann ist WLSMV statt ML als Schaetzer in SEM zu waehlen? Nenne zwei konkrete Szenarien.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SEM fit: CFI=0.88, RMSEA=0.09, SRMR=0.07, n=250. Acceptable? Improvement? Modification indices?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(4 Pts.) </w:t>
      </w:r>
      <w:r>
        <w:rPr>
          <w:rFonts w:ascii="Calibri" w:hAnsi="Calibri"/>
          <w:sz w:val="20"/>
        </w:rPr>
        <w:t>Mediation X-&gt;M-&gt;Y: a=0.45***, b=0.32**, c'=0.12 (ns). Full or partial? How to test indirect effect?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Questionnaire across 2 age groups. Invariance levels? What if metric invariance fails?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Reflective vs formative measurement model. Examples?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When to choose WLSMV over ML estimator? Two scenarios.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Nein: CFI &lt; 0,95, RMSEA &gt; 0,06. SRMR ok. b) 1. Modifikationsindizes pruefen (aber theoriegeleitet!), 2. Kreuzladungen oder korrelierte Fehler hinzufuegen, 3. Zusaetzliche Indikatoren pro Faktor. c) MI geben an, um wie viel Chi-Quadrat sinkt, wenn ein fixierter Parameter frei geschaetzt wird. Nur ändern, wenn theoretisch begruendbar (sonst Modelldredging).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Vollstaendige Mediation: c' (direkter Effekt) nicht signifikant, aber a und b signifikant. Der gesamte Effekt von X auf Y laeuft über M. b) Indirekter Effekt = a * b = 0,45*0,32 = 0,144. Test via Bootstrapped-KI (5.000 Resamples): Wenn 0 nicht im KI, signifikant. Sobel-Test (parametrisch) ist konservativer.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1. Konfigural (gleiche Struktur), 2. Metrisch (gleiche Ladungen), 3. Skalar (gleiche Intercepts), 4. Strikt (gleiche Residuen). Entscheidung: Delta-CFI &gt; -0,01 oder Delta-RMSEA &gt; 0,015 = Invarianz verletzt. b) Gruppenvergleiche der latenten Mittelwerte sind nicht interpretierbar. c) 1. Teilinvariance (partielle metrische Invarianz: mindestens 2 Items pro Faktor invariant), 2. Nur konfigurale Invarianz (dann beobachtete Mittelwerte vergleichen).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Reflektiv: Indikatoren sind Folgen des Faktors (z. B. Depression -&gt; Schlafstörungen, Antriebslosigkeit). Pfeile vom Faktor zu Items. Formativ: Indikatoren definieren den Faktor (z. B. soziooekonomischer Status = Bildung + Einkommen + Beruf). Pfeile von Items zum Faktor. SEM-Standard ist reflektiv. Fuer formativ: PLS-SEM.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WLSMV (Weighted Least Squares Mean- and Variance-adjusted) bei: 1) Kategorialen Indikatoren (Likert-Skala &lt; 5 Stufen, binare Items). ML wuerde diese als metrisch behandeln — verzerrte Ladungen. 2) Starker Non-Normalitaet der Indikatoren (schiefe Verteilungen). MLR (robust ML) ist auch eine Alternative.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Not acceptable (CFI &lt; .95, RMSEA &gt; .06). Check MIs (theory-driven!). Add cross-loadings or correlated errors.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Full mediation. Indirect = a*b = 0.144. Bootstrap CI (5000 resamples).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Configural, metric, scalar, strict. Delta CFI &gt; -.01 = violated. Partial invariance or observed means.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Reflective: depression -&gt; items (arrows factor-&gt;items). Formative: SES = education+income+occupation (arrows items-&gt;factor).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1) Categorical indicators (&lt;5 Likert steps, binary). 2) Severe non-normality.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Strukturgleichungsmodelle (SEM)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