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Mehrebenenanalyse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Wozu dient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Zur nichtparametrischen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Zur Faktorenanalyse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Zur einfachen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Zur Analyse hierarchischer Datenstrukturen</w:t>
      </w:r>
    </w:p>
    <w:p>
      <w:pPr>
        <w:spacing w:before="200"/>
      </w:pPr>
      <w:r>
        <w:rPr>
          <w:rFonts w:ascii="Calibri" w:hAnsi="Calibri"/>
          <w:b/>
          <w:sz w:val="20"/>
        </w:rPr>
        <w:t>2. Was ist der IntraklassenkorrelationsKoeffizient (ICC)?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Der DeterminationsKoeffizient auf Level 2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Das Mass für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Anteil der Varianz zwischen Gruppen an der Gesamtvarianz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Korrelation innerhalb einer Gruppe</w:t>
      </w:r>
    </w:p>
    <w:p>
      <w:pPr>
        <w:spacing w:before="200"/>
      </w:pPr>
      <w:r>
        <w:rPr>
          <w:rFonts w:ascii="Calibri" w:hAnsi="Calibri"/>
          <w:b/>
          <w:sz w:val="20"/>
        </w:rPr>
        <w:t>3. Ein ICC von 0.10 bedeutet...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10% der Varianz liegen innerhalb der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10% der Varianz liegen zwischen den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 ist 0.10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Das Modell ist nicht signifikant</w:t>
      </w:r>
    </w:p>
    <w:p>
      <w:pPr>
        <w:spacing w:before="200"/>
      </w:pPr>
      <w:r>
        <w:rPr>
          <w:rFonts w:ascii="Calibri" w:hAnsi="Calibri"/>
          <w:b/>
          <w:sz w:val="20"/>
        </w:rPr>
        <w:t>4. Was ist ein Random Intercept?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Intercept, der zwischen Gruppen variieren darf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zufälliger Fehler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fester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Kovariate auf Level 2</w:t>
      </w:r>
    </w:p>
    <w:p>
      <w:pPr>
        <w:spacing w:before="200"/>
      </w:pPr>
      <w:r>
        <w:rPr>
          <w:rFonts w:ascii="Calibri" w:hAnsi="Calibri"/>
          <w:b/>
          <w:sz w:val="20"/>
        </w:rPr>
        <w:t>5. Was ist ein Random Slope?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fixer Effekt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zufällige Steigung (Random Slope)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Interaktionsterm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SteigungsKoeffizient, der zwischen Gruppen variiert</w:t>
      </w:r>
    </w:p>
    <w:p>
      <w:pPr>
        <w:spacing w:before="200"/>
      </w:pPr>
      <w:r>
        <w:rPr>
          <w:rFonts w:ascii="Calibri" w:hAnsi="Calibri"/>
          <w:b/>
          <w:sz w:val="20"/>
        </w:rPr>
        <w:t>6. Was misst der AIC?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absolute Modellgüte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relative Modellgüte unter Berücksichtigung der Komplexität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Korrelation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Varianz</w:t>
      </w:r>
    </w:p>
    <w:p>
      <w:pPr>
        <w:spacing w:before="200"/>
      </w:pPr>
      <w:r>
        <w:rPr>
          <w:rFonts w:ascii="Calibri" w:hAnsi="Calibri"/>
          <w:b/>
          <w:sz w:val="20"/>
        </w:rPr>
        <w:t>7. Welches Problem löst die Mehrebenenanalyse?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Veränderte Standardfehler bei genesteten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Multikollinearität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Heteroskedastizität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Nicht-Normalverteilung</w:t>
      </w:r>
    </w:p>
    <w:p>
      <w:pPr>
        <w:spacing w:before="200"/>
      </w:pPr>
      <w:r>
        <w:rPr>
          <w:rFonts w:ascii="Calibri" w:hAnsi="Calibri"/>
          <w:b/>
          <w:sz w:val="20"/>
        </w:rPr>
        <w:t>8. Wie viele Ebenen hat eine Schüler-in-Klassen-in-Schulen-Struktur?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3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1 Ebene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4 Ebenen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2 Ebenen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Mehrebenenanalyse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