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One-Way ANOVA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When do you use 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Comparing 3+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Relationship between two metric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Comparing 2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Normality test</w:t>
      </w:r>
    </w:p>
    <w:p>
      <w:pPr>
        <w:spacing w:before="200"/>
      </w:pPr>
      <w:r>
        <w:rPr>
          <w:rFonts w:ascii="Calibri" w:hAnsi="Calibri"/>
          <w:b/>
          <w:sz w:val="20"/>
        </w:rPr>
        <w:t>2. Which variance is in the numerator of the F-statistic?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Error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Variance within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Total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Variance between groups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a significant F-test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All means differ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Variances are equal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Samples are representative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At least one mean differs</w:t>
      </w:r>
    </w:p>
    <w:p>
      <w:pPr>
        <w:spacing w:before="200"/>
      </w:pPr>
      <w:r>
        <w:rPr>
          <w:rFonts w:ascii="Calibri" w:hAnsi="Calibri"/>
          <w:b/>
          <w:sz w:val="20"/>
        </w:rPr>
        <w:t>4. Which post-hoc test is the most conservative?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LSD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Scheffe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Bonferroni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Tukey HSD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 effect size measure in 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Cramer's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Cohen's 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Eta-squared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R-squared</w:t>
      </w:r>
    </w:p>
    <w:p>
      <w:pPr>
        <w:spacing w:before="200"/>
      </w:pPr>
      <w:r>
        <w:rPr>
          <w:rFonts w:ascii="Calibri" w:hAnsi="Calibri"/>
          <w:b/>
          <w:sz w:val="20"/>
        </w:rPr>
        <w:t>6. Which assumption is central to 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Ordinal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Metric 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Equal sample sizes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Homogeneity of variances</w:t>
      </w:r>
    </w:p>
    <w:p>
      <w:pPr>
        <w:spacing w:before="200"/>
      </w:pPr>
      <w:r>
        <w:rPr>
          <w:rFonts w:ascii="Calibri" w:hAnsi="Calibri"/>
          <w:b/>
          <w:sz w:val="20"/>
        </w:rPr>
        <w:t>7. What is the purpose of post-hoc tests?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Testing variances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Locating significant differences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Normality testing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Power analysis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omnibus test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Test of individual differences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Test of variance homogeneity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Overall difference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Interaction test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One-Way ANOVA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