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Content Analysis (Mayring)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Foundations</w:t>
      </w:r>
    </w:p>
    <w:p>
      <w:pPr>
        <w:spacing w:after="80"/>
      </w:pPr>
      <w:r>
        <w:rPr>
          <w:rFonts w:ascii="Calibri" w:hAnsi="Calibri"/>
          <w:sz w:val="19"/>
        </w:rPr>
        <w:t>Developed by Philipp Mayring (1983, continuously updated).</w:t>
      </w:r>
    </w:p>
    <w:p>
      <w:pPr>
        <w:spacing w:after="80"/>
      </w:pPr>
      <w:r>
        <w:rPr>
          <w:rFonts w:ascii="Calibri" w:hAnsi="Calibri"/>
          <w:sz w:val="19"/>
        </w:rPr>
        <w:t>Goal: Systematic, rule-guided analysis of text material while maintaining openness and traceability.</w:t>
      </w:r>
    </w:p>
    <w:p>
      <w:pPr>
        <w:spacing w:after="80"/>
      </w:pPr>
      <w:r>
        <w:rPr>
          <w:rFonts w:ascii="Calibri" w:hAnsi="Calibri"/>
          <w:sz w:val="19"/>
        </w:rPr>
        <w:t>Object: Any form of fixed communication (interview transcripts, newspaper articles, laws, diaries, images).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Three Basic Forms</w:t>
      </w:r>
    </w:p>
    <w:p>
      <w:pPr>
        <w:spacing w:after="80"/>
      </w:pPr>
      <w:r>
        <w:rPr>
          <w:rFonts w:ascii="Calibri" w:hAnsi="Calibri"/>
          <w:sz w:val="19"/>
        </w:rPr>
        <w:t>Summarization: Material paraphrased, generalized, reduced. Goal: essence in brief.</w:t>
      </w:r>
    </w:p>
    <w:p>
      <w:pPr>
        <w:spacing w:after="80"/>
      </w:pPr>
      <w:r>
        <w:rPr>
          <w:rFonts w:ascii="Calibri" w:hAnsi="Calibri"/>
          <w:sz w:val="19"/>
        </w:rPr>
        <w:t>Explication: Unclear text passages clarified with additional material.</w:t>
      </w:r>
    </w:p>
    <w:p>
      <w:pPr>
        <w:spacing w:after="80"/>
      </w:pPr>
      <w:r>
        <w:rPr>
          <w:rFonts w:ascii="Calibri" w:hAnsi="Calibri"/>
          <w:sz w:val="19"/>
        </w:rPr>
        <w:t>Structuring: Specific aspects extracted from the material. Subforms: content, formal, typifying, scaling.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Procedure Model (Summarization)</w:t>
      </w:r>
    </w:p>
    <w:p>
      <w:pPr>
        <w:spacing w:after="80"/>
      </w:pPr>
      <w:r>
        <w:rPr>
          <w:rFonts w:ascii="Calibri" w:hAnsi="Calibri"/>
          <w:sz w:val="19"/>
        </w:rPr>
        <w:t>Step 1: Define material (which texts, which parts?).</w:t>
      </w:r>
    </w:p>
    <w:p>
      <w:pPr>
        <w:spacing w:after="80"/>
      </w:pPr>
      <w:r>
        <w:rPr>
          <w:rFonts w:ascii="Calibri" w:hAnsi="Calibri"/>
          <w:sz w:val="19"/>
        </w:rPr>
        <w:t>Step 2: Determine analysis direction.</w:t>
      </w:r>
    </w:p>
    <w:p>
      <w:pPr>
        <w:spacing w:after="80"/>
      </w:pPr>
      <w:r>
        <w:rPr>
          <w:rFonts w:ascii="Calibri" w:hAnsi="Calibri"/>
          <w:sz w:val="19"/>
        </w:rPr>
        <w:t>Step 3: Paraphrasing: text into own concise words.</w:t>
      </w:r>
    </w:p>
    <w:p>
      <w:pPr>
        <w:spacing w:after="80"/>
      </w:pPr>
      <w:r>
        <w:rPr>
          <w:rFonts w:ascii="Calibri" w:hAnsi="Calibri"/>
          <w:sz w:val="19"/>
        </w:rPr>
        <w:t>Step 4: Generalization: paraphrases at uniform abstraction level.</w:t>
      </w:r>
    </w:p>
    <w:p>
      <w:pPr>
        <w:spacing w:after="80"/>
      </w:pPr>
      <w:r>
        <w:rPr>
          <w:rFonts w:ascii="Calibri" w:hAnsi="Calibri"/>
          <w:sz w:val="19"/>
        </w:rPr>
        <w:t>Step 5: Reduction I: delete/merge identical paraphrases.</w:t>
      </w:r>
    </w:p>
    <w:p>
      <w:pPr>
        <w:spacing w:after="80"/>
      </w:pPr>
      <w:r>
        <w:rPr>
          <w:rFonts w:ascii="Calibri" w:hAnsi="Calibri"/>
          <w:sz w:val="19"/>
        </w:rPr>
        <w:t>Step 6: Reduction II: bundle central statements, form new categories.</w:t>
      </w:r>
    </w:p>
    <w:p>
      <w:pPr>
        <w:spacing w:after="80"/>
      </w:pPr>
      <w:r>
        <w:rPr>
          <w:rFonts w:ascii="Calibri" w:hAnsi="Calibri"/>
          <w:sz w:val="19"/>
        </w:rPr>
        <w:t>Step 7: Back-check: verify against original material.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Category System</w:t>
      </w:r>
    </w:p>
    <w:p>
      <w:pPr>
        <w:spacing w:after="80"/>
      </w:pPr>
      <w:r>
        <w:rPr>
          <w:rFonts w:ascii="Calibri" w:hAnsi="Calibri"/>
          <w:sz w:val="19"/>
        </w:rPr>
        <w:t>Heart of content analysis. Main categories, subcategories, anchor examples.</w:t>
      </w:r>
    </w:p>
    <w:p>
      <w:pPr>
        <w:spacing w:after="80"/>
      </w:pPr>
      <w:r>
        <w:rPr>
          <w:rFonts w:ascii="Calibri" w:hAnsi="Calibri"/>
          <w:sz w:val="19"/>
        </w:rPr>
        <w:t>Inductive category formation: From material to category.</w:t>
      </w:r>
    </w:p>
    <w:p>
      <w:pPr>
        <w:spacing w:after="80"/>
      </w:pPr>
      <w:r>
        <w:rPr>
          <w:rFonts w:ascii="Calibri" w:hAnsi="Calibri"/>
          <w:sz w:val="19"/>
        </w:rPr>
        <w:t>Deductive category formation: From theory to material.</w:t>
      </w:r>
    </w:p>
    <w:p>
      <w:pPr>
        <w:spacing w:after="80"/>
      </w:pPr>
      <w:r>
        <w:rPr>
          <w:rFonts w:ascii="Calibri" w:hAnsi="Calibri"/>
          <w:sz w:val="19"/>
        </w:rPr>
        <w:t>Coding guide per category: definition, anchor example, coding rule.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Reliability and Validity</w:t>
      </w:r>
    </w:p>
    <w:p>
      <w:pPr>
        <w:spacing w:after="80"/>
      </w:pPr>
      <w:r>
        <w:rPr>
          <w:rFonts w:ascii="Calibri" w:hAnsi="Calibri"/>
          <w:sz w:val="19"/>
        </w:rPr>
        <w:t>Intercoder reliability: Two independent coders. Agreement as Cohen's kappa (kappa &gt; 0.7 acceptable).</w:t>
      </w:r>
    </w:p>
    <w:p>
      <w:pPr>
        <w:spacing w:after="80"/>
      </w:pPr>
      <w:r>
        <w:rPr>
          <w:rFonts w:ascii="Calibri" w:hAnsi="Calibri"/>
          <w:sz w:val="19"/>
        </w:rPr>
        <w:t>Validity: Communicative validation with respondents, triangulation, rule-based procedure.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Content Analysis (Mayring)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