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Observation and Ethnography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Observation in Qualitative Research</w:t>
      </w:r>
    </w:p>
    <w:p>
      <w:pPr>
        <w:spacing w:after="80"/>
      </w:pPr>
      <w:r>
        <w:rPr>
          <w:rFonts w:ascii="Calibri" w:hAnsi="Calibri"/>
          <w:sz w:val="19"/>
        </w:rPr>
        <w:t>Observation: Systematic recording of behavior, interactions, and social situations in natural settings.</w:t>
      </w:r>
    </w:p>
    <w:p>
      <w:pPr>
        <w:spacing w:after="80"/>
      </w:pPr>
      <w:r>
        <w:rPr>
          <w:rFonts w:ascii="Calibri" w:hAnsi="Calibri"/>
          <w:sz w:val="19"/>
        </w:rPr>
        <w:t>Participant vs. non-participant: Degree of involvement.</w:t>
      </w:r>
    </w:p>
    <w:p>
      <w:pPr>
        <w:spacing w:after="80"/>
      </w:pPr>
      <w:r>
        <w:rPr>
          <w:rFonts w:ascii="Calibri" w:hAnsi="Calibri"/>
          <w:sz w:val="19"/>
        </w:rPr>
        <w:t>Overt vs. covert: Do the observed know? (Ethical implications!)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Participant Observation</w:t>
      </w:r>
    </w:p>
    <w:p>
      <w:pPr>
        <w:spacing w:after="80"/>
      </w:pPr>
      <w:r>
        <w:rPr>
          <w:rFonts w:ascii="Calibri" w:hAnsi="Calibri"/>
          <w:sz w:val="19"/>
        </w:rPr>
        <w:t>The gold standard of ethnography (Malinowski, Mead, Whyte).</w:t>
      </w:r>
    </w:p>
    <w:p>
      <w:pPr>
        <w:spacing w:after="80"/>
      </w:pPr>
      <w:r>
        <w:rPr>
          <w:rFonts w:ascii="Calibri" w:hAnsi="Calibri"/>
          <w:sz w:val="19"/>
        </w:rPr>
        <w:t>Researcher lives in the field for extended time, participates in daily life and observes.</w:t>
      </w:r>
    </w:p>
    <w:p>
      <w:pPr>
        <w:spacing w:after="80"/>
      </w:pPr>
      <w:r>
        <w:rPr>
          <w:rFonts w:ascii="Calibri" w:hAnsi="Calibri"/>
          <w:sz w:val="19"/>
        </w:rPr>
        <w:t>Challenges: Going native (over-identification), gatekeepers, field role conflicts.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Ethnography as Research Strategy</w:t>
      </w:r>
    </w:p>
    <w:p>
      <w:pPr>
        <w:spacing w:after="80"/>
      </w:pPr>
      <w:r>
        <w:rPr>
          <w:rFonts w:ascii="Calibri" w:hAnsi="Calibri"/>
          <w:sz w:val="19"/>
        </w:rPr>
        <w:t>Ethnography = extended field stay + participant observation + interviews + artifact collection.</w:t>
      </w:r>
    </w:p>
    <w:p>
      <w:pPr>
        <w:spacing w:after="80"/>
      </w:pPr>
      <w:r>
        <w:rPr>
          <w:rFonts w:ascii="Calibri" w:hAnsi="Calibri"/>
          <w:sz w:val="19"/>
        </w:rPr>
        <w:t>Thick description (Geertz 1973): Not just describing behavior but decoding meaning layers.</w:t>
      </w:r>
    </w:p>
    <w:p>
      <w:pPr>
        <w:spacing w:after="80"/>
      </w:pPr>
      <w:r>
        <w:rPr>
          <w:rFonts w:ascii="Calibri" w:hAnsi="Calibri"/>
          <w:sz w:val="19"/>
        </w:rPr>
        <w:t>Duration: Months to years. Ends with theoretical saturation.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Field Entry and Field Notes</w:t>
      </w:r>
    </w:p>
    <w:p>
      <w:pPr>
        <w:spacing w:after="80"/>
      </w:pPr>
      <w:r>
        <w:rPr>
          <w:rFonts w:ascii="Calibri" w:hAnsi="Calibri"/>
          <w:sz w:val="19"/>
        </w:rPr>
        <w:t>Access: Contact, trust-building, role negotiation. Snowball principle.</w:t>
      </w:r>
    </w:p>
    <w:p>
      <w:pPr>
        <w:spacing w:after="80"/>
      </w:pPr>
      <w:r>
        <w:rPr>
          <w:rFonts w:ascii="Calibri" w:hAnsi="Calibri"/>
          <w:sz w:val="19"/>
        </w:rPr>
        <w:t>Field notes: Timely recording. Descriptive: Who, what, where, when, how.</w:t>
      </w:r>
    </w:p>
    <w:p>
      <w:pPr>
        <w:spacing w:after="80"/>
      </w:pPr>
      <w:r>
        <w:rPr>
          <w:rFonts w:ascii="Calibri" w:hAnsi="Calibri"/>
          <w:sz w:val="19"/>
        </w:rPr>
        <w:t>Note types: Jottings (in field), expanded notes (soon after), methodological notes, theoretical notes.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Ethical Challenges</w:t>
      </w:r>
    </w:p>
    <w:p>
      <w:pPr>
        <w:spacing w:after="80"/>
      </w:pPr>
      <w:r>
        <w:rPr>
          <w:rFonts w:ascii="Calibri" w:hAnsi="Calibri"/>
          <w:sz w:val="19"/>
        </w:rPr>
        <w:t>Informed consent: Difficult in field settings.</w:t>
      </w:r>
    </w:p>
    <w:p>
      <w:pPr>
        <w:spacing w:after="80"/>
      </w:pPr>
      <w:r>
        <w:rPr>
          <w:rFonts w:ascii="Calibri" w:hAnsi="Calibri"/>
          <w:sz w:val="19"/>
        </w:rPr>
        <w:t>Covert observation: Only when unavoidable and no alternative method exists.</w:t>
      </w:r>
    </w:p>
    <w:p>
      <w:pPr>
        <w:spacing w:after="80"/>
      </w:pPr>
      <w:r>
        <w:rPr>
          <w:rFonts w:ascii="Calibri" w:hAnsi="Calibri"/>
          <w:sz w:val="19"/>
        </w:rPr>
        <w:t>Anonymization: Persons, places, institutions made unrecognizable.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Observation and Ethnography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