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One-Way ANOVA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When do you use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Comparing 3+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Relationship between two metric variables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Comparing 2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Normality test</w:t>
      </w:r>
    </w:p>
    <w:p>
      <w:pPr>
        <w:spacing w:before="200"/>
      </w:pPr>
      <w:r>
        <w:rPr>
          <w:rFonts w:ascii="Calibri" w:hAnsi="Calibri"/>
          <w:b/>
          <w:sz w:val="20"/>
        </w:rPr>
        <w:t>2. Which variance is in the numerator of the F-statistic?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Error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 within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Total variance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Variance between groups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a significant F-test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All means differ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Variances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Samples are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At least one mean differs</w:t>
      </w:r>
    </w:p>
    <w:p>
      <w:pPr>
        <w:spacing w:before="200"/>
      </w:pPr>
      <w:r>
        <w:rPr>
          <w:rFonts w:ascii="Calibri" w:hAnsi="Calibri"/>
          <w:b/>
          <w:sz w:val="20"/>
        </w:rPr>
        <w:t>4. Which post-hoc test is the most conservative?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LSD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Scheffe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Bonferroni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Tukey HSD</w:t>
      </w:r>
    </w:p>
    <w:p>
      <w:pPr>
        <w:spacing w:before="200"/>
      </w:pPr>
      <w:r>
        <w:rPr>
          <w:rFonts w:ascii="Calibri" w:hAnsi="Calibri"/>
          <w:b/>
          <w:sz w:val="20"/>
        </w:rPr>
        <w:t>5. What is the effect size measure in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Cohen's 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R-squared</w:t>
      </w:r>
    </w:p>
    <w:p>
      <w:pPr>
        <w:spacing w:before="200"/>
      </w:pPr>
      <w:r>
        <w:rPr>
          <w:rFonts w:ascii="Calibri" w:hAnsi="Calibri"/>
          <w:b/>
          <w:sz w:val="20"/>
        </w:rPr>
        <w:t>6. Which assumption is central to ANOVA?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Ordinal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Metric 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Equal sample sizes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Homogeneity of variances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purpose of post-hoc tests?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Testing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Locating significant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Normality testing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Power analysis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omnibus test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Test of individual differences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Test of variance homogeneity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Overall difference 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Interaction test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One-Way ANOVA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