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Chi-Square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the chi-square test assess?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Correlations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Variance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Mean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Relationships between categorical variables</w:t>
      </w:r>
    </w:p>
    <w:p>
      <w:pPr>
        <w:spacing w:before="200"/>
      </w:pPr>
      <w:r>
        <w:rPr>
          <w:rFonts w:ascii="Calibri" w:hAnsi="Calibri"/>
          <w:b/>
          <w:sz w:val="20"/>
        </w:rPr>
        <w:t>2. Which assumption applies to the chi-square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Expected frequencies &gt; 5 per cell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Equal group sizes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Cramer's V?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 normality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 measure of effect size for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 correlation measure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 post-hoc test</w:t>
      </w:r>
    </w:p>
    <w:p>
      <w:pPr>
        <w:spacing w:before="200"/>
      </w:pPr>
      <w:r>
        <w:rPr>
          <w:rFonts w:ascii="Calibri" w:hAnsi="Calibri"/>
          <w:b/>
          <w:sz w:val="20"/>
        </w:rPr>
        <w:t>4. When do you use Fisher's exact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With small samples or expected frequencies &lt; 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With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With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With more than 4 cells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phi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Effect size for t-tests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chi-square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Special case of Cramer's V for 2x2 tables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p-value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a significant chi-square test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variables are causally related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variables are related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variances are homogeneous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means differ</w:t>
      </w:r>
    </w:p>
    <w:p>
      <w:pPr>
        <w:spacing w:before="200"/>
      </w:pPr>
      <w:r>
        <w:rPr>
          <w:rFonts w:ascii="Calibri" w:hAnsi="Calibri"/>
          <w:b/>
          <w:sz w:val="20"/>
        </w:rPr>
        <w:t>7. How is chi-square calculated?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Sum (Observed - Expected)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Product of row and column sums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Sum (Observed - Expected)^2 / Expected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Mean of differences</w:t>
      </w:r>
    </w:p>
    <w:p>
      <w:pPr>
        <w:spacing w:before="200"/>
      </w:pPr>
      <w:r>
        <w:rPr>
          <w:rFonts w:ascii="Calibri" w:hAnsi="Calibri"/>
          <w:b/>
          <w:sz w:val="20"/>
        </w:rPr>
        <w:t>8. How many degrees of freedom does a 3x4 table have?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12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6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Chi-Square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