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operationalization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Theory building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Translating a construct into measurable indicators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Statistical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Sampling</w:t>
      </w:r>
    </w:p>
    <w:p>
      <w:pPr>
        <w:spacing w:before="200"/>
      </w:pPr>
      <w:r>
        <w:rPr>
          <w:rFonts w:ascii="Calibri" w:hAnsi="Calibri"/>
          <w:b/>
          <w:sz w:val="20"/>
        </w:rPr>
        <w:t>2. Which scale level allows all arithmetic operations?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Ordinal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Interval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Ratio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Nominal scale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Cronbach's alpha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Internal consistency (reliability)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Validity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4. Which alpha value is considered acceptable?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Does the instrument measure what it intends to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Is the sample representative?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Is the test objective?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Is the measurement precise?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reliability and validity?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Validity is a prerequisite for reliability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Reliability = precision, validity = accuracy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Reliability is more important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Likert scale?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visual analog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dichotomous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nominal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multi-level agreement scale (1-5)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objectivity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Results are independent of the test administrator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Measurement is precise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Theory is correct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