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Logistische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Welches Skalenniveau hat die AV in der logistischen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Metrisch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Ordinal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Intervallskaliert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Kategorial (meist dichotom)</w:t>
      </w:r>
    </w:p>
    <w:p>
      <w:pPr>
        <w:spacing w:before="200"/>
      </w:pPr>
      <w:r>
        <w:rPr>
          <w:rFonts w:ascii="Calibri" w:hAnsi="Calibri"/>
          <w:b/>
          <w:sz w:val="20"/>
        </w:rPr>
        <w:t>2. Was modelliert die logistische Regression direkt?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Den Logarithmus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Den linearen Zusammenhang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Wahrscheinlichkeit der AV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Odds?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Regressionsköffizient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Wahrscheinlichkeit selbst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Wahrscheinlichkeit / Gegenwahrscheinlichkeit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Logit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 Logit?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Differenz der Odds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Logarithmus der Odds</w:t>
      </w:r>
    </w:p>
    <w:p>
      <w:pPr>
        <w:spacing w:before="200"/>
      </w:pPr>
      <w:r>
        <w:rPr>
          <w:rFonts w:ascii="Calibri" w:hAnsi="Calibri"/>
          <w:b/>
          <w:sz w:val="20"/>
        </w:rPr>
        <w:t>5. Wie interpretiert man exp(b)?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Als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Als Odds Ratio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Als 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Als Korrelation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Welches Pseudo-R-Quadrat wird häufig berichtet?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Nagelkerke-R-Quadrat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Eta-Quadrat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Partial-Eta-Quadrat</w:t>
      </w:r>
    </w:p>
    <w:p>
      <w:pPr>
        <w:spacing w:before="200"/>
      </w:pPr>
      <w:r>
        <w:rPr>
          <w:rFonts w:ascii="Calibri" w:hAnsi="Calibri"/>
          <w:b/>
          <w:sz w:val="20"/>
        </w:rPr>
        <w:t>7. Wann ist der Hosmer-Lemeshow-Test signifikant?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Bei guter Modellanpassung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Bei schlechter Modellanpassung (p &lt; 0.05)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Bei normalverteilter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Ohne Ausreißer</w:t>
      </w:r>
    </w:p>
    <w:p>
      <w:pPr>
        <w:spacing w:before="200"/>
      </w:pPr>
      <w:r>
        <w:rPr>
          <w:rFonts w:ascii="Calibri" w:hAnsi="Calibri"/>
          <w:b/>
          <w:sz w:val="20"/>
        </w:rPr>
        <w:t>8. Was zeigt die Klassifikationstabelle?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VIF-Werte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Regressionsköffizienten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Korrelationsmatrix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Beobachtete vs. vorhergesagte Gruppen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Logistische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