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Chi-Quadrat-Tests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testet der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Varianzunterschiede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Zusammenhänge zwischen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Mittelwertsunterschiede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Korrelationen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Gleiche Gruppengrößen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Erwartete Häufigkeiten &gt; 5 pro Zelle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Metrische Daten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Cramers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Test auf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Mass für die Effektgröße bei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Post-hoc-Test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Fishers exakten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Bei kleinen Stichproben oder erwarteten Häufigkeiten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Bei mehr als 4 Feldern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Bei metrischen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Bei großen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der Phi-Köffizient?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Effektgröße für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Chi-Quadrat-Wert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Spezialfall von Cramers V für 2x2-Tabellen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ein signifikanter Chi-Quadrat-Test?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Varianzen sind homogen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Variablen sind kausal verbunden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Variablen hängen zusammen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Mittelwerte unterscheiden sich</w:t>
      </w:r>
    </w:p>
    <w:p>
      <w:pPr>
        <w:spacing w:before="200"/>
      </w:pPr>
      <w:r>
        <w:rPr>
          <w:rFonts w:ascii="Calibri" w:hAnsi="Calibri"/>
          <w:b/>
          <w:sz w:val="20"/>
        </w:rPr>
        <w:t>7. Wie berechnet man Chi-Quadrat?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Produkt von Zeilen- und Spaltensummen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Summe (Beobachtet - Erwartet)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Summe (Beobachtet - Erwartet)^2 / Erwartet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Mittelwert der Differenzen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Freiheitsgrade hat eine 3x4-Tabelle?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6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7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Chi-Quadrat-Tests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