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Survey-Design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Survey?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standardisierte Befragung einer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Beobachtung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qualitatives Interview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Total Survey Error (Groves)?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Der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Der Gesamtfehler der 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Gesamtfehler = Stichprobenfehler + Coverage + Nonresponse + Messfehler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Der Stichprobenfehler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eine doppelläufige Frage (double-barreled)?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Frage mit zwei Teilaspekten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sich widersprechende 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zweimal gestellte Frage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Frage mit zwei Antwortmöglichkeiten</w:t>
      </w:r>
    </w:p>
    <w:p>
      <w:pPr>
        <w:spacing w:before="200"/>
      </w:pPr>
      <w:r>
        <w:rPr>
          <w:rFonts w:ascii="Calibri" w:hAnsi="Calibri"/>
          <w:b/>
          <w:sz w:val="20"/>
        </w:rPr>
        <w:t>4. Was ist Akquieszenz?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Zustimmungstendenz unabhängig vom Inhalt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Mittelkategorie wählen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Extreme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Ablehnungstendenz</w:t>
      </w:r>
    </w:p>
    <w:p>
      <w:pPr>
        <w:spacing w:before="200"/>
      </w:pPr>
      <w:r>
        <w:rPr>
          <w:rFonts w:ascii="Calibri" w:hAnsi="Calibri"/>
          <w:b/>
          <w:sz w:val="20"/>
        </w:rPr>
        <w:t>5. Was ist soziale Erwünschtheit?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Ehrliche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Keine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Zufällige Antworten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Antworten in gesellschaftlich erwünschter Richtung</w:t>
      </w:r>
    </w:p>
    <w:p>
      <w:pPr>
        <w:spacing w:before="200"/>
      </w:pPr>
      <w:r>
        <w:rPr>
          <w:rFonts w:ascii="Calibri" w:hAnsi="Calibri"/>
          <w:b/>
          <w:sz w:val="20"/>
        </w:rPr>
        <w:t>6. Wozu dient ein kognitiver Pretest?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Stichprobe zu ziehen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Daten auszuwerten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Verständnis der Fragen durch Testpersonen prüfen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Den Fragebogen zu drucken</w:t>
      </w:r>
    </w:p>
    <w:p>
      <w:pPr>
        <w:spacing w:before="200"/>
      </w:pPr>
      <w:r>
        <w:rPr>
          <w:rFonts w:ascii="Calibri" w:hAnsi="Calibri"/>
          <w:b/>
          <w:sz w:val="20"/>
        </w:rPr>
        <w:t>7. Welches Tool ist DSGVO-konform und deutsch?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Qualtrics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Google Forms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SoSci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SurveyMonkey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Primacy-Effekt?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Letzte Antwortoption wird gewählt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Erste Antwortoption wird überdurchschnittlich gewählt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Zufällige Auswahl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Mittelkategorie wird gewählt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Survey-Design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