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40"/>
        </w:rPr>
        <w:t>Formelsammlung Statistik — Master / Advanced Level</w:t>
      </w:r>
    </w:p>
    <w:p>
      <w:pPr>
        <w:spacing w:after="80"/>
        <w:jc w:val="center"/>
      </w:pPr>
      <w:r>
        <w:rPr>
          <w:rFonts w:ascii="Calibri" w:hAnsi="Calibri"/>
          <w:i/>
          <w:color w:val="4F6D8A"/>
          <w:sz w:val="18"/>
        </w:rPr>
        <w:t>Multiple Regression, SEM, Faktorenanalyse, Nichtparametrik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1984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Thema</w:t>
            </w:r>
          </w:p>
        </w:tc>
        <w:tc>
          <w:tcPr>
            <w:tcW w:type="dxa" w:w="4535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Formel / Konzept</w:t>
            </w:r>
          </w:p>
        </w:tc>
        <w:tc>
          <w:tcPr>
            <w:tcW w:type="dxa" w:w="7937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Erklärung / Beispiel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Multiple Regression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y = b₀ + b₁x₁ + ... + bₖxₖ + e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Mehrere UVs gleichzeitig. Partielle Regressionskoeffizienten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Korrigiertes R²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R²_adj = 1 − (1−R²)·(n−1)/(n−k−1)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Bestraft viele Prädiktoren. Modellvergleich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VIF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VIF = 1 / (1 − R²ⱼ)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R²ⱼ aus Regression von Xⱼ auf andere. VIF &gt; 10 = problematisch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Partielle Korrelation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r_xy.z = (r_xy − r_xz·r_yz) / √((1−r²_xz)·(1−r²_yz))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Korrelation von x und y nach Auspartialisierung von z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Logit (Log. Regr.)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ln(p/(1−p)) = b₀ + b₁x₁ + ... + bₖxₖ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Log-Odds als lineare Funktion der Prädiktoren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Odds-Ratio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OR = exp(b)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Faktoränderung der Odds pro X-Einheit. OR &gt; 1 = steigend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Pseudo-R² (Nagelkerke)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R²_N = (1 − (L₀/Lₘ)^(2/n)) / (1 − L₀^(2/n))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Approximation erklärter Varianz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AIC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AIC = −2·ln(L) + 2·k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 = Parameteranzahl. Niedriger AIC = besseres Modell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BIC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BIC = −2·ln(L) + k·ln(n)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Strenger als AIC (bevorzugt einfachere Modelle)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Partielles η²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η²_p = SS_Effekt / (SS_Effekt + SS_Fehler)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Effektstärke pro Effekt in ANOVA/ANCOVA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Eigenwert (FA)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EW = Σa²ᵢ für Faktor i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aᵢ = Ladungen. Kaiser: EW &gt; 1 behalten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KMO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KMO = Σr²ᵢⱼ / (Σr²ᵢⱼ + Σa²ᵢⱼ)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KMO &gt; 0,6 = akzeptabel. Stichprobeneignung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Bartlett-Test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χ² = −((n−1) − (2p+5)/6)·ln(|R|)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Test auf nicht-diagonale Struktur. p &lt; ,05 = geeignet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CFI (CFA)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CFI = 1 − max(χ²_m − df_m, 0) / max(χ²_m − df_m, χ²_b − df_b, 0)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CFI &gt; ,95 = guter Fit. Ziel- vs. Basismodell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RMSEA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RMSEA = √(max((χ²_m − df_m)/(N−1), 0) / df_m)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RMSEA &lt; ,06 = gut; &lt; ,08 akzeptabel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Mann-Whitney-U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U = ΣR₁ − n₁·(n₁+1)/2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Rangsumme Gruppe 1 minus Minimum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Kruskal-Wallis-H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 = 12/(N(N+1)) · Σ(R²ᵢ/nᵢ) − 3(N+1)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Rangbasierte ANOVA ~ χ² mit k−1 df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Friedman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χ²_F = 12n/(k(k+1)) · Σ(R²ⱼ) − 3n(k+1)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Rangbasierte RM-ANOVA. Rⱼ = Rangsumme pro Zeit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 |  GSC Services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  <w:jc w:val="left"/>
    </w:pPr>
    <w:r>
      <w:rPr>
        <w:rFonts w:ascii="Calibri" w:hAnsi="Calibri"/>
        <w:i/>
        <w:color w:val="4F6D8A"/>
        <w:sz w:val="15"/>
      </w:rPr>
      <w:t xml:space="preserve">  Kevin Glock Statistical Consulting Services</w:t>
    </w:r>
    <w:r>
      <w:rPr>
        <w:sz w:val="15"/>
      </w:rPr>
      <w:tab/>
    </w:r>
    <w:r>
      <w:rPr>
        <w:rFonts w:ascii="Calibri" w:hAnsi="Calibri"/>
        <w:color w:val="14213D"/>
        <w:sz w:val="15"/>
      </w:rPr>
      <w:t xml:space="preserve">  |  Formelsammlung / Spickzettel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