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4213D"/>
          <w:sz w:val="36"/>
        </w:rPr>
        <w:t>Panel- &amp; Laengsschnittdatenanalyse</w:t>
      </w:r>
    </w:p>
    <w:p>
      <w:pPr>
        <w:jc w:val="center"/>
      </w:pPr>
      <w:r>
        <w:rPr>
          <w:rFonts w:ascii="Calibri" w:hAnsi="Calibri"/>
          <w:i/>
          <w:color w:val="4F6D8A"/>
          <w:sz w:val="20"/>
        </w:rPr>
        <w:t>Methoden-Dossier mit fachspezifischen Beispielen | Advanced-Niveau</w:t>
      </w:r>
    </w:p>
    <w:p/>
    <w:p>
      <w:pPr>
        <w:spacing w:before="280" w:after="120"/>
      </w:pPr>
      <w:r>
        <w:rPr>
          <w:rFonts w:ascii="Calibri" w:hAnsi="Calibri"/>
          <w:b/>
          <w:color w:val="14213D"/>
          <w:sz w:val="28"/>
        </w:rPr>
        <w:t>1. Methodenbeschreibung</w:t>
      </w:r>
    </w:p>
    <w:p>
      <w:pPr>
        <w:spacing w:before="40" w:after="80"/>
      </w:pPr>
      <w:r>
        <w:rPr>
          <w:rFonts w:ascii="Calibri" w:hAnsi="Calibri"/>
          <w:sz w:val="19"/>
        </w:rPr>
        <w:t>Panel- und Laengsschnittdaten beobachten dieselben Einheiten (Personen, Firmen, Laender) über mehrere Zeitpunkte. Dies ermöglicht die Kontrolle zeitstabiler unbeobachteter Heterogenitaet und die Analyse von Veränderungen auf individueller Ebene.</w:t>
      </w:r>
    </w:p>
    <w:p>
      <w:pPr>
        <w:spacing w:before="40" w:after="80"/>
      </w:pPr>
      <w:r>
        <w:rPr>
          <w:rFonts w:ascii="Calibri" w:hAnsi="Calibri"/>
          <w:sz w:val="19"/>
        </w:rPr>
        <w:t>Zentrale Modelle:</w:t>
      </w:r>
    </w:p>
    <w:p>
      <w:pPr>
        <w:spacing w:before="200" w:after="60"/>
      </w:pPr>
      <w:r>
        <w:rPr>
          <w:rFonts w:ascii="Calibri" w:hAnsi="Calibri"/>
          <w:b/>
          <w:color w:val="14213D"/>
          <w:sz w:val="22"/>
        </w:rPr>
        <w:t>Fixed Effects (FE) — "Within-Schätzer"</w:t>
      </w:r>
    </w:p>
    <w:p>
      <w:pPr>
        <w:spacing w:before="40" w:after="80"/>
      </w:pPr>
      <w:r>
        <w:rPr>
          <w:rFonts w:ascii="Calibri" w:hAnsi="Calibri"/>
          <w:sz w:val="19"/>
        </w:rPr>
        <w:t>Eliminiert alle zeitkonstanten unbeobachteten Heterogenitaet (z. B. Persoenlichkeit, kognitive Faehigkeiten) durch Mittelwertsbereinigung pro Einheit. Der Effekt wird NUR aus Abweichungen vom individuellen Mittelwert geschaetzt. Annahme: Streng exogene Kovariablen (keine Rueckwirkung vergangener AV auf aktuelle UV).</w:t>
      </w:r>
    </w:p>
    <w:p>
      <w:pPr>
        <w:spacing w:before="200" w:after="60"/>
      </w:pPr>
      <w:r>
        <w:rPr>
          <w:rFonts w:ascii="Calibri" w:hAnsi="Calibri"/>
          <w:b/>
          <w:color w:val="14213D"/>
          <w:sz w:val="22"/>
        </w:rPr>
        <w:t>Random Effects (RE) — "GLS-Schätzer"</w:t>
      </w:r>
    </w:p>
    <w:p>
      <w:pPr>
        <w:spacing w:before="40" w:after="80"/>
      </w:pPr>
      <w:r>
        <w:rPr>
          <w:rFonts w:ascii="Calibri" w:hAnsi="Calibri"/>
          <w:sz w:val="19"/>
        </w:rPr>
        <w:t>Modelliert individuelle Effekte als zufaellige Abweichungen vom Gesamtmittelwert. Annahme: Individueneffekte sind unabhaengig von den Kovariablen. Effizienter als FE, aber inkonsistent bei verletzter Annahme. Hausman-Test vergleicht FE vs. RE.</w:t>
      </w:r>
    </w:p>
    <w:p>
      <w:pPr>
        <w:spacing w:before="200" w:after="60"/>
      </w:pPr>
      <w:r>
        <w:rPr>
          <w:rFonts w:ascii="Calibri" w:hAnsi="Calibri"/>
          <w:b/>
          <w:color w:val="14213D"/>
          <w:sz w:val="22"/>
        </w:rPr>
        <w:t>First Differences (FD)</w:t>
      </w:r>
    </w:p>
    <w:p>
      <w:pPr>
        <w:spacing w:before="40" w:after="80"/>
      </w:pPr>
      <w:r>
        <w:rPr>
          <w:rFonts w:ascii="Calibri" w:hAnsi="Calibri"/>
          <w:sz w:val="19"/>
        </w:rPr>
        <w:t>Alternative zu FE: Differenz benachbarter Zeitpunkte (Y_it - Y_i,t-1) eliminiert ebenfalls zeitkonstante Heterogenitaet. Bei T=2 identisch zu FE. Bei T&gt;2 unter strenger Exogenitaet und Homoskedastie weniger effizient als FE.</w:t>
      </w:r>
    </w:p>
    <w:p>
      <w:pPr>
        <w:spacing w:before="200" w:after="60"/>
      </w:pPr>
      <w:r>
        <w:rPr>
          <w:rFonts w:ascii="Calibri" w:hAnsi="Calibri"/>
          <w:b/>
          <w:color w:val="14213D"/>
          <w:sz w:val="22"/>
        </w:rPr>
        <w:t>Hybrid-Modelle / Within-Between</w:t>
      </w:r>
    </w:p>
    <w:p>
      <w:pPr>
        <w:spacing w:before="40" w:after="80"/>
      </w:pPr>
      <w:r>
        <w:rPr>
          <w:rFonts w:ascii="Calibri" w:hAnsi="Calibri"/>
          <w:sz w:val="19"/>
        </w:rPr>
        <w:t>Trennt Within-Effekt (zeitliche Veränderung) und Between-Effekt (Unterschiede zwischen Einheiten) in einem Modell. Ermöglicht die Schaetzung beider Komponenten gleichzeitig (Bell &amp; Jones 2015).</w:t>
      </w:r>
    </w:p>
    <w:p>
      <w:pPr>
        <w:spacing w:before="280" w:after="120"/>
      </w:pPr>
      <w:r>
        <w:rPr>
          <w:rFonts w:ascii="Calibri" w:hAnsi="Calibri"/>
          <w:b/>
          <w:color w:val="14213D"/>
          <w:sz w:val="28"/>
        </w:rPr>
        <w:t>2. Fachbereichsspezifische Beispiele</w:t>
      </w:r>
    </w:p>
    <w:p>
      <w:pPr>
        <w:spacing w:before="200" w:after="60"/>
      </w:pPr>
      <w:r>
        <w:rPr>
          <w:rFonts w:ascii="Calibri" w:hAnsi="Calibri"/>
          <w:b/>
          <w:color w:val="14213D"/>
          <w:sz w:val="22"/>
        </w:rPr>
        <w:t>Sozialwissenschaften</w:t>
      </w:r>
    </w:p>
    <w:p>
      <w:pPr>
        <w:spacing w:before="40" w:after="80"/>
      </w:pPr>
      <w:r>
        <w:rPr>
          <w:rFonts w:ascii="Calibri" w:hAnsi="Calibri"/>
          <w:sz w:val="19"/>
        </w:rPr>
        <w:t>SOEP-Panel: Effekt von Arbeitslosigkeit auf Lebenszufriedenheit. FE-Modell kontrolliert fuer zeitstabile Persoenlichkeitseigenschaften. Ergebnis: Arbeitslosigkeit reduziert Lebenszufriedenheit um 0,8 Punkte (within-Effekt).</w:t>
      </w:r>
    </w:p>
    <w:p>
      <w:pPr>
        <w:spacing w:before="200" w:after="60"/>
      </w:pPr>
      <w:r>
        <w:rPr>
          <w:rFonts w:ascii="Calibri" w:hAnsi="Calibri"/>
          <w:b/>
          <w:color w:val="14213D"/>
          <w:sz w:val="22"/>
        </w:rPr>
        <w:t>Wirtschaftswissenschaften</w:t>
      </w:r>
    </w:p>
    <w:p>
      <w:pPr>
        <w:spacing w:before="40" w:after="80"/>
      </w:pPr>
      <w:r>
        <w:rPr>
          <w:rFonts w:ascii="Calibri" w:hAnsi="Calibri"/>
          <w:sz w:val="19"/>
        </w:rPr>
        <w:t>Firmenpanel (Compustat): Effekt von F&amp;E-Ausgaben auf Umsatzwachstum. FE mit fixen Firmeneffekten kontrolliert fuer Managementqualitaet. Dynamisches Panel (Arellano-Bond) bei autokorrelierter AV.</w:t>
      </w:r>
    </w:p>
    <w:p>
      <w:pPr>
        <w:spacing w:before="200" w:after="60"/>
      </w:pPr>
      <w:r>
        <w:rPr>
          <w:rFonts w:ascii="Calibri" w:hAnsi="Calibri"/>
          <w:b/>
          <w:color w:val="14213D"/>
          <w:sz w:val="22"/>
        </w:rPr>
        <w:t>Medizin &amp; Gesundheitswissenschaften</w:t>
      </w:r>
    </w:p>
    <w:p>
      <w:pPr>
        <w:spacing w:before="40" w:after="80"/>
      </w:pPr>
      <w:r>
        <w:rPr>
          <w:rFonts w:ascii="Calibri" w:hAnsi="Calibri"/>
          <w:sz w:val="19"/>
        </w:rPr>
        <w:t>Altersverlauf kognitiver Faehigkeiten (Schaedigungspanel): FE-Modell mit altersspezifischen Termen. Schaetzt den kognitiven Abbau innerhalb einer Person über die Zeit.</w:t>
      </w:r>
    </w:p>
    <w:p>
      <w:pPr>
        <w:spacing w:before="200" w:after="60"/>
      </w:pPr>
      <w:r>
        <w:rPr>
          <w:rFonts w:ascii="Calibri" w:hAnsi="Calibri"/>
          <w:b/>
          <w:color w:val="14213D"/>
          <w:sz w:val="22"/>
        </w:rPr>
        <w:t>Geisteswissenschaften</w:t>
      </w:r>
    </w:p>
    <w:p>
      <w:pPr>
        <w:spacing w:before="40" w:after="80"/>
      </w:pPr>
      <w:r>
        <w:rPr>
          <w:rFonts w:ascii="Calibri" w:hAnsi="Calibri"/>
          <w:sz w:val="19"/>
        </w:rPr>
        <w:t>Buchpublikationen pro Autor über Jahrzehnte. Panel-Modell mit Autoren-FE kontrolliert fuer Schreibstil. Praediktoren: Lebensereignisse, Foerderung.</w:t>
      </w:r>
    </w:p>
    <w:p>
      <w:pPr>
        <w:spacing w:before="200" w:after="60"/>
      </w:pPr>
      <w:r>
        <w:rPr>
          <w:rFonts w:ascii="Calibri" w:hAnsi="Calibri"/>
          <w:b/>
          <w:color w:val="14213D"/>
          <w:sz w:val="22"/>
        </w:rPr>
        <w:t>Sportwissenschaften</w:t>
      </w:r>
    </w:p>
    <w:p>
      <w:pPr>
        <w:spacing w:before="40" w:after="80"/>
      </w:pPr>
      <w:r>
        <w:rPr>
          <w:rFonts w:ascii="Calibri" w:hAnsi="Calibri"/>
          <w:sz w:val="19"/>
        </w:rPr>
        <w:t>Leistungsentwicklung von Athleten über Saisons. FE-Modell kontrolliert fuer Talent. Test: Effekt neuer Trainingsmethoden auf Bestleistung.</w:t>
      </w:r>
    </w:p>
    <w:p>
      <w:pPr>
        <w:spacing w:before="280" w:after="120"/>
      </w:pPr>
      <w:r>
        <w:rPr>
          <w:rFonts w:ascii="Calibri" w:hAnsi="Calibri"/>
          <w:b/>
          <w:color w:val="14213D"/>
          <w:sz w:val="28"/>
        </w:rPr>
        <w:t>3. Annahmen und Voraussetzungen</w:t>
      </w:r>
    </w:p>
    <w:p>
      <w:pPr>
        <w:spacing w:before="20" w:after="20"/>
        <w:ind w:left="283"/>
      </w:pPr>
      <w:r>
        <w:rPr>
          <w:rFonts w:ascii="Calibri" w:hAnsi="Calibri"/>
          <w:sz w:val="18"/>
        </w:rPr>
        <w:t xml:space="preserve">FE: Streng exogene Kovariablen (E[epsilon_it | X_i1...X_iT, alpha_i] = 0). Keine perfekte Multikollinearitaet. Mindestens 2 Zeitpunkte.</w:t>
      </w:r>
    </w:p>
    <w:p>
      <w:pPr>
        <w:spacing w:before="20" w:after="20"/>
        <w:ind w:left="283"/>
      </w:pPr>
      <w:r>
        <w:rPr>
          <w:rFonts w:ascii="Calibri" w:hAnsi="Calibri"/>
          <w:sz w:val="18"/>
        </w:rPr>
        <w:t xml:space="preserve">RE: Individueneffekte unabhaengig von X (Cov[alpha_i, X_it] = 0). Sonst inkonsistent.</w:t>
      </w:r>
    </w:p>
    <w:p>
      <w:pPr>
        <w:spacing w:before="20" w:after="20"/>
        <w:ind w:left="283"/>
      </w:pPr>
      <w:r>
        <w:rPr>
          <w:rFonts w:ascii="Calibri" w:hAnsi="Calibri"/>
          <w:sz w:val="18"/>
        </w:rPr>
        <w:t xml:space="preserve">FD: Streng exogene Differenzen. Bei T=2 identisch zu FE.</w:t>
      </w:r>
    </w:p>
    <w:p>
      <w:pPr>
        <w:spacing w:before="20" w:after="20"/>
        <w:ind w:left="283"/>
      </w:pPr>
      <w:r>
        <w:rPr>
          <w:rFonts w:ascii="Calibri" w:hAnsi="Calibri"/>
          <w:sz w:val="18"/>
        </w:rPr>
        <w:t xml:space="preserve">Dynamische Modelle: Keine Autokorrelation 2. Ordnung (Arellano-Bond-Test).</w:t>
      </w:r>
    </w:p>
    <w:p>
      <w:pPr>
        <w:spacing w:before="200" w:after="60"/>
      </w:pPr>
      <w:r>
        <w:rPr>
          <w:rFonts w:ascii="Calibri" w:hAnsi="Calibri"/>
          <w:b/>
          <w:color w:val="14213D"/>
          <w:sz w:val="22"/>
        </w:rPr>
        <w:t>Zeitliche Struktur</w:t>
      </w:r>
    </w:p>
    <w:p>
      <w:pPr>
        <w:spacing w:before="20" w:after="20"/>
        <w:ind w:left="283"/>
      </w:pPr>
      <w:r>
        <w:rPr>
          <w:rFonts w:ascii="Calibri" w:hAnsi="Calibri"/>
          <w:sz w:val="18"/>
        </w:rPr>
        <w:t xml:space="preserve">Balanced Panel: alle Zeitpunkte fuer alle Einheiten verfuegbar</w:t>
      </w:r>
    </w:p>
    <w:p>
      <w:pPr>
        <w:spacing w:before="20" w:after="20"/>
        <w:ind w:left="283"/>
      </w:pPr>
      <w:r>
        <w:rPr>
          <w:rFonts w:ascii="Calibri" w:hAnsi="Calibri"/>
          <w:sz w:val="18"/>
        </w:rPr>
        <w:t xml:space="preserve">Unbalanced Panel: fehlende Zeitpunkte — unproblematisch wenn MCAR/MAR</w:t>
      </w:r>
    </w:p>
    <w:p>
      <w:pPr>
        <w:spacing w:before="20" w:after="20"/>
        <w:ind w:left="283"/>
      </w:pPr>
      <w:r>
        <w:rPr>
          <w:rFonts w:ascii="Calibri" w:hAnsi="Calibri"/>
          <w:sz w:val="18"/>
        </w:rPr>
        <w:t xml:space="preserve">Serielle Korrelation der Fehler — Cluster-robuste Standardfehler auf Einheitenebene</w:t>
      </w:r>
    </w:p>
    <w:p>
      <w:pPr>
        <w:spacing w:before="280" w:after="120"/>
      </w:pPr>
      <w:r>
        <w:rPr>
          <w:rFonts w:ascii="Calibri" w:hAnsi="Calibri"/>
          <w:b/>
          <w:color w:val="14213D"/>
          <w:sz w:val="28"/>
        </w:rPr>
        <w:t>4. Interpretation und Berichterstattung</w:t>
      </w:r>
    </w:p>
    <w:p>
      <w:pPr>
        <w:spacing w:before="20" w:after="20"/>
        <w:ind w:left="283"/>
      </w:pPr>
      <w:r>
        <w:rPr>
          <w:rFonts w:ascii="Calibri" w:hAnsi="Calibri"/>
          <w:sz w:val="18"/>
        </w:rPr>
        <w:t xml:space="preserve">FE: "Innerhalb einer Person führt eine Erhoehung von X um eine Einheit zu einer Änderung von Y um beta."</w:t>
      </w:r>
    </w:p>
    <w:p>
      <w:pPr>
        <w:spacing w:before="20" w:after="20"/>
        <w:ind w:left="283"/>
      </w:pPr>
      <w:r>
        <w:rPr>
          <w:rFonts w:ascii="Calibri" w:hAnsi="Calibri"/>
          <w:sz w:val="18"/>
        </w:rPr>
        <w:t xml:space="preserve">RE: "Im Vergleich zwischen Personen ist Y um beta hoeher bei einer Einheit hoeherem X."</w:t>
      </w:r>
    </w:p>
    <w:p>
      <w:pPr>
        <w:spacing w:before="20" w:after="20"/>
        <w:ind w:left="283"/>
      </w:pPr>
      <w:r>
        <w:rPr>
          <w:rFonts w:ascii="Calibri" w:hAnsi="Calibri"/>
          <w:sz w:val="18"/>
        </w:rPr>
        <w:t xml:space="preserve">Hausman-Test berichten (p &lt; 0,05 = FE bevorzugen)</w:t>
      </w:r>
    </w:p>
    <w:p>
      <w:pPr>
        <w:spacing w:before="20" w:after="20"/>
        <w:ind w:left="283"/>
      </w:pPr>
      <w:r>
        <w:rPr>
          <w:rFonts w:ascii="Calibri" w:hAnsi="Calibri"/>
          <w:sz w:val="18"/>
        </w:rPr>
        <w:t xml:space="preserve">Anzahl Einheiten (N), Zeitpunkte (T), Gesamtbeobachtungen (N*T) angeben</w:t>
      </w:r>
    </w:p>
    <w:p>
      <w:pPr>
        <w:spacing w:before="20" w:after="20"/>
        <w:ind w:left="283"/>
      </w:pPr>
      <w:r>
        <w:rPr>
          <w:rFonts w:ascii="Calibri" w:hAnsi="Calibri"/>
          <w:sz w:val="18"/>
        </w:rPr>
        <w:t xml:space="preserve">Serielle Korrelation testen (Wooldridge-Test) und Cluster-SEs berichten</w:t>
      </w:r>
    </w:p>
    <w:p>
      <w:pPr>
        <w:spacing w:before="20" w:after="20"/>
        <w:ind w:left="283"/>
      </w:pPr>
      <w:r>
        <w:rPr>
          <w:rFonts w:ascii="Calibri" w:hAnsi="Calibri"/>
          <w:sz w:val="18"/>
        </w:rPr>
        <w:t xml:space="preserve">Within-R^2, Between-R^2, Overall-R^2 berichten</w:t>
      </w:r>
    </w:p>
    <w:p>
      <w:pPr>
        <w:spacing w:before="280" w:after="120"/>
      </w:pPr>
      <w:r>
        <w:rPr>
          <w:rFonts w:ascii="Calibri" w:hAnsi="Calibri"/>
          <w:b/>
          <w:color w:val="14213D"/>
          <w:sz w:val="28"/>
        </w:rPr>
        <w:t>5. Code-Beispiele</w:t>
      </w:r>
    </w:p>
    <w:p>
      <w:pPr>
        <w:spacing w:before="120" w:after="40"/>
      </w:pPr>
      <w:r>
        <w:rPr>
          <w:rFonts w:ascii="Calibri" w:hAnsi="Calibri"/>
          <w:b/>
          <w:color w:val="14213D"/>
          <w:sz w:val="20"/>
        </w:rPr>
        <w:t>R - Panel-Modelle: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library(plm)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# Fixed Effects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fe &lt;- plm(y ~ x1 + x2, data=df, index=c("id","year"), model="within")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summary(fe)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# Random Effects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re &lt;- plm(y ~ x1 + x2, data=df, index=c("id","year"), model="random")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summary(re)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# Hausman-Test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phtest(fe, re)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# First Differences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fd &lt;- plm(y ~ x1 + x2, data=df, index=c("id","year"), model="fd")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# Arellano-Bond (dynamisch)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library(plm)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pgmm(y ~ lag(y,1) + x1 | lag(y,2:4), data=df, effect="individual")</w:t>
      </w:r>
    </w:p>
    <w:p>
      <w:pPr>
        <w:spacing w:before="120" w:after="40"/>
      </w:pPr>
      <w:r>
        <w:rPr>
          <w:rFonts w:ascii="Calibri" w:hAnsi="Calibri"/>
          <w:b/>
          <w:color w:val="14213D"/>
          <w:sz w:val="20"/>
        </w:rPr>
        <w:t>Python - Panel-Modelle: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import pandas as pd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from linearmodels.panel import PanelOLS, RandomEffects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from linearmodels.panel import FirstDifferenceOLS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# Fixed Effects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fe = PanelOLS.from_formula("y ~ x1 + x2 + EntityEffects", data=df)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fe_res = fe.fit(cov_type="clustered", cluster_entity=True)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print(fe_res)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# Random Effects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re = RandomEffects.from_formula("y ~ x1 + x2", data=df)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re_res = re.fit()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# Hausman (manuell oder über Hausman-Test Statistik)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# Dynamisch: linearmodels unterstuetzt Arellano-Bond nicht natuerlich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# Nutze statsmodels oder pandas + Instrumentalvariablen</w:t>
      </w:r>
    </w:p>
    <w:p>
      <w:pPr>
        <w:spacing w:before="120" w:after="40"/>
      </w:pPr>
      <w:r>
        <w:rPr>
          <w:rFonts w:ascii="Calibri" w:hAnsi="Calibri"/>
          <w:b/>
          <w:color w:val="14213D"/>
          <w:sz w:val="20"/>
        </w:rPr>
        <w:t>Stata: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xtset id year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xtreg y x1 x2, fe # Fixed Effects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xtreg y x1 x2, re # Random Effects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hausman fe re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xtabond y x1 x2, lags(1) # Arellano-Bond</w:t>
      </w:r>
    </w:p>
    <w:p>
      <w:pPr>
        <w:spacing w:before="280" w:after="120"/>
      </w:pPr>
      <w:r>
        <w:rPr>
          <w:rFonts w:ascii="Calibri" w:hAnsi="Calibri"/>
          <w:b/>
          <w:color w:val="14213D"/>
          <w:sz w:val="28"/>
        </w:rPr>
        <w:t>6. Erweiterung</w:t>
      </w:r>
    </w:p>
    <w:p>
      <w:pPr>
        <w:spacing w:before="200" w:after="60"/>
      </w:pPr>
      <w:r>
        <w:rPr>
          <w:rFonts w:ascii="Calibri" w:hAnsi="Calibri"/>
          <w:b/>
          <w:color w:val="14213D"/>
          <w:sz w:val="22"/>
        </w:rPr>
        <w:t>Dynamische Panelmodelle (Arellano-Bond)</w:t>
      </w:r>
    </w:p>
    <w:p>
      <w:pPr>
        <w:spacing w:before="40" w:after="80"/>
      </w:pPr>
      <w:r>
        <w:rPr>
          <w:rFonts w:ascii="Calibri" w:hAnsi="Calibri"/>
          <w:sz w:val="19"/>
        </w:rPr>
        <w:t>Wenn die AV autokorreliert ist (y_it-1 beeinflusst y_it), ist das Standard-FE verzerrt (Nickell-Bias). Lösung: GMM-Schaetzung mit Lag-Werten als Instrumenten. Test: Keine Autokorrelation 2. Ordnung (AR(2)-Test).</w:t>
      </w:r>
    </w:p>
    <w:p>
      <w:pPr>
        <w:spacing w:before="200" w:after="60"/>
      </w:pPr>
      <w:r>
        <w:rPr>
          <w:rFonts w:ascii="Calibri" w:hAnsi="Calibri"/>
          <w:b/>
          <w:color w:val="14213D"/>
          <w:sz w:val="22"/>
        </w:rPr>
        <w:t>Multilevel Panel (Cross-Classified)</w:t>
      </w:r>
    </w:p>
    <w:p>
      <w:pPr>
        <w:spacing w:before="40" w:after="80"/>
      </w:pPr>
      <w:r>
        <w:rPr>
          <w:rFonts w:ascii="Calibri" w:hAnsi="Calibri"/>
          <w:sz w:val="19"/>
        </w:rPr>
        <w:t>Wenn Einheiten in mehreren Hierarchien verschachtelt sind (z. B. Schueler in Schulen über Zeit). Modellierung via crossed random effects (lme4 in R, MixedLM in Python).</w:t>
      </w:r>
    </w:p>
    <w:p>
      <w:pPr>
        <w:spacing w:before="200" w:after="60"/>
      </w:pPr>
      <w:r>
        <w:rPr>
          <w:rFonts w:ascii="Calibri" w:hAnsi="Calibri"/>
          <w:b/>
          <w:color w:val="14213D"/>
          <w:sz w:val="22"/>
        </w:rPr>
        <w:t>Difference-in-Differences mit Paneldaten</w:t>
      </w:r>
    </w:p>
    <w:p>
      <w:pPr>
        <w:spacing w:before="40" w:after="80"/>
      </w:pPr>
      <w:r>
        <w:rPr>
          <w:rFonts w:ascii="Calibri" w:hAnsi="Calibri"/>
          <w:sz w:val="19"/>
        </w:rPr>
        <w:t>DiD + Panel = FE-Modell mit Interaktion Post*Treatment. Das FE kontrolliert fuer zeitkonstante Unterschiede zwischen Treatment/Kontrolle; Jahres-Dummies kontrollieren fuer gemeinsame Trends.</w:t>
      </w:r>
    </w:p>
    <w:p>
      <w:pPr>
        <w:spacing w:before="200" w:after="60"/>
      </w:pPr>
      <w:r>
        <w:rPr>
          <w:rFonts w:ascii="Calibri" w:hAnsi="Calibri"/>
          <w:b/>
          <w:color w:val="14213D"/>
          <w:sz w:val="22"/>
        </w:rPr>
        <w:t>Latent Growth Curve Models (SEM)</w:t>
      </w:r>
    </w:p>
    <w:p>
      <w:pPr>
        <w:spacing w:before="40" w:after="80"/>
      </w:pPr>
      <w:r>
        <w:rPr>
          <w:rFonts w:ascii="Calibri" w:hAnsi="Calibri"/>
          <w:sz w:val="19"/>
        </w:rPr>
        <w:t>Modelliert interindividuelle Unterschiede in intraindividuellen Veränderungen. Schatzt latenten Intercept und Slope (lineares/nichtlineares Wachstum). Vorteil: Fehlermodellierung und Messinvarianzprüfung.</w:t>
      </w:r>
    </w:p>
    <w:p>
      <w:pPr>
        <w:spacing w:before="280" w:after="120"/>
      </w:pPr>
      <w:r>
        <w:rPr>
          <w:rFonts w:ascii="Calibri" w:hAnsi="Calibri"/>
          <w:b/>
          <w:color w:val="14213D"/>
          <w:sz w:val="28"/>
        </w:rPr>
        <w:t>7. Übungsaufgaben</w:t>
      </w:r>
    </w:p>
    <w:p>
      <w:pPr>
        <w:spacing w:before="40" w:after="80"/>
      </w:pPr>
      <w:r>
        <w:rPr>
          <w:rFonts w:ascii="Calibri" w:hAnsi="Calibri"/>
          <w:sz w:val="19"/>
        </w:rPr>
        <w:t>Aufgabe 1: Du hast SOEP-Daten (2000-2020) mit Lebenszufriedenheit (0-10) und Arbeitslosigkeit (0/1). a) Warum ist ein FE-Modell geeignet? b) Welcher Effekt wird geschaetzt? c) Was passiert mit Personen, die nie arbeitslos werden?</w:t>
      </w:r>
    </w:p>
    <w:p>
      <w:pPr>
        <w:spacing w:before="40" w:after="80"/>
      </w:pPr>
      <w:r>
        <w:rPr>
          <w:rFonts w:ascii="Calibri" w:hAnsi="Calibri"/>
          <w:sz w:val="19"/>
        </w:rPr>
        <w:t>Aufgabe 2: Hausman-Test ist signifikant (p=0,003). a) Interpretation? b) Was folgerst du fuer die Modellwahl?</w:t>
      </w:r>
    </w:p>
    <w:p>
      <w:pPr>
        <w:spacing w:before="40" w:after="80"/>
      </w:pPr>
      <w:r>
        <w:rPr>
          <w:rFonts w:ascii="Calibri" w:hAnsi="Calibri"/>
          <w:sz w:val="19"/>
        </w:rPr>
        <w:t>Aufgabe 3: Du vermutest, dass die AV y_t von y_t-1 beeinflusst wird. a) Warum ist FE verzerrt? (Nickell-Bias) b) Welcher Schaetzer ist geeignet? c) Welche Annahme testest du?</w:t>
      </w:r>
    </w:p>
    <w:sectPr w:rsidR="00FC693F" w:rsidRPr="0006063C" w:rsidSect="00034616">
      <w:headerReference w:type="default" r:id="rId9"/>
      <w:footerReference w:type="default" r:id="rId10"/>
      <w:headerReference w:type="first" r:id="rId11"/>
      <w:headerReference w:type="even" r:id="rId12"/>
      <w:footerReference w:type="first" r:id="rId13"/>
      <w:footerReference w:type="even" r:id="rId14"/>
      <w:pgSz w:w="11906" w:h="16838"/>
      <w:pgMar w:top="1134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sz w:val="14"/>
        <w:szCs w:val="14"/>
        <w:rFonts w:ascii="Calibri" w:hAnsi="Calibri"/>
      </w:rPr>
      <w:t xml:space="preserve">Kevin Glock Statistical Consulting Services | GSC Services · www.kevinglock.de</w:t>
    </w:r>
    <w:r>
      <w:rPr>
        <w:sz w:val="18"/>
        <w:szCs w:val="18"/>
        <w:rFonts w:ascii="Cambria" w:hAnsi="Cambria"/>
      </w:rPr>
      <w:t xml:space="preserve"> | Seite </w:t>
    </w:r>
    <w:r>
      <w:rPr>
        <w:sz w:val="18"/>
        <w:szCs w:val="18"/>
        <w:rFonts w:ascii="Cambria" w:hAnsi="Cambria"/>
      </w:rPr>
      <w:fldChar w:fldCharType="begin"/>
    </w:r>
    <w:r>
      <w:rPr>
        <w:sz w:val="18"/>
        <w:szCs w:val="18"/>
        <w:rFonts w:ascii="Cambria" w:hAnsi="Cambria"/>
      </w:rPr>
      <w:instrText xml:space="preserve"> PAGE </w:instrText>
    </w:r>
    <w:r>
      <w:rPr>
        <w:sz w:val="18"/>
        <w:szCs w:val="18"/>
        <w:rFonts w:ascii="Cambria" w:hAnsi="Cambria"/>
      </w:rPr>
      <w:fldChar w:fldCharType="separate"/>
    </w:r>
    <w:r>
      <w:rPr>
        <w:sz w:val="18"/>
        <w:szCs w:val="18"/>
        <w:rFonts w:ascii="Cambria" w:hAnsi="Cambria"/>
      </w:rPr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tblLook w:firstColumn="1" w:firstRow="1" w:lastColumn="0" w:lastRow="0" w:noHBand="0" w:noVBand="1" w:val="04A0"/>
    </w:tblPr>
    <w:tblGrid>
      <w:gridCol w:w="4680"/>
      <w:gridCol w:w="4680"/>
    </w:tblGrid>
    <w:tr>
      <w:tc>
        <w:tcPr>
          <w:tcW w:type="dxa" w:w="4680"/>
        </w:tcPr>
        <w:p>
          <w:pPr>
            <w:jc w:val="center"/>
          </w:pPr>
          <w:r>
            <w:drawing>
              <wp:inline xmlns:a="http://schemas.openxmlformats.org/drawingml/2006/main" xmlns:pic="http://schemas.openxmlformats.org/drawingml/2006/picture">
                <wp:extent cx="1008000" cy="2016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-compact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40080" cy="128016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680"/>
        </w:tcPr>
        <w:p>
          <w:pPr>
            <w:jc w:val="right"/>
            <w:spacing w:after="0" w:line="240" w:lineRule="auto"/>
          </w:pPr>
          <w:r>
            <w:rPr>
              <w:b/>
              <w:sz w:val="18"/>
              <w:szCs w:val="18"/>
              <w:rFonts w:ascii="Calibri" w:hAnsi="Calibri"/>
              <w:color w:val="14213D"/>
            </w:rPr>
            <w:t xml:space="preserve">Kevin Glock Statistical Consulting Services | GSC Services</w:t>
          </w:r>
        </w:p>
        <w:p>
          <w:pPr>
            <w:jc w:val="right"/>
          </w:pPr>
          <w:r>
            <w:rPr>
              <w:sz w:val="17"/>
              <w:szCs w:val="17"/>
              <w:rFonts w:ascii="Calibri" w:hAnsi="Calibri"/>
              <w:color w:val="4F6D8A"/>
            </w:rPr>
            <w:t xml:space="preserve">Methoden-Dossier</w:t>
          </w:r>
        </w:p>
      </w:tc>
    </w:tr>
  </w:tbl>
  <w:p w14:paraId="7C74DF6B" w14:textId="77777777" w:rsidR="003D5C0B" w:rsidRDefault="00000000">
    <w:pPr>
      <w:spacing w:after="80"/>
    </w:pPr>
    <w:r>
      <w:rPr>
        <w:color w:val="FF6600"/>
        <w:sz w:val="8"/>
      </w:rPr>
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header" Target="header3.xml"/><Relationship Id="rId13" Type="http://schemas.openxmlformats.org/officeDocument/2006/relationships/footer" Target="footer2.xml"/><Relationship Id="rId14" Type="http://schemas.openxmlformats.org/officeDocument/2006/relationships/footer" Target="footer3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