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ANOVA, ANCOVA, Factorial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difference between ANOVA and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ANCOVA is nonparametric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ANCOVA has more IVs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ANCOVA uses rank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ANCOVA includes a covariate</w:t>
      </w:r>
    </w:p>
    <w:p>
      <w:pPr>
        <w:spacing w:before="200"/>
      </w:pPr>
      <w:r>
        <w:rPr>
          <w:rFonts w:ascii="Calibri" w:hAnsi="Calibri"/>
          <w:b/>
          <w:sz w:val="20"/>
        </w:rPr>
        <w:t>2. A two-way ANOVA has...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two DVs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two IVs (factors)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two covariates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two levels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a significant interaction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Post-hoc tests are unnecessary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Variances are homogeneous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effect of one factor depends on the other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Both main effects are significant</w:t>
      </w:r>
    </w:p>
    <w:p>
      <w:pPr>
        <w:spacing w:before="200"/>
      </w:pPr>
      <w:r>
        <w:rPr>
          <w:rFonts w:ascii="Calibri" w:hAnsi="Calibri"/>
          <w:b/>
          <w:sz w:val="20"/>
        </w:rPr>
        <w:t>4. What is partial eta-squared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Effect size per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Post-hoc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Total variance measure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covariate?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categorical 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DV</w:t>
      </w:r>
    </w:p>
    <w:p>
      <w:pPr>
        <w:spacing w:after="40"/>
        <w:ind w:left="567"/>
      </w:pPr>
      <w:r>
        <w:t>C) A metric control variable</w:t>
      </w:r>
    </w:p>
    <w:p>
      <w:pPr>
        <w:spacing w:after="40"/>
        <w:ind w:left="567"/>
      </w:pPr>
      <w:r>
        <w:t>D) An interaction variable</w:t>
      </w:r>
    </w:p>
    <w:p>
      <w:pPr>
        <w:spacing w:before="200"/>
      </w:pPr>
      <w:r>
        <w:rPr>
          <w:rFonts w:ascii="Calibri" w:hAnsi="Calibri"/>
          <w:b/>
          <w:sz w:val="20"/>
        </w:rPr>
        <w:t>6. Which assumption is specific to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Homogeneity of variance</w:t>
      </w:r>
    </w:p>
    <w:p>
      <w:pPr>
        <w:spacing w:after="40"/>
        <w:ind w:left="567"/>
      </w:pPr>
      <w:r>
        <w:t>B) Homogeneity of regression slopes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Random sample</w:t>
      </w:r>
    </w:p>
    <w:p>
      <w:pPr>
        <w:spacing w:before="200"/>
      </w:pPr>
      <w:r>
        <w:rPr>
          <w:rFonts w:ascii="Calibri" w:hAnsi="Calibri"/>
          <w:b/>
          <w:sz w:val="20"/>
        </w:rPr>
        <w:t>7. How many main effects in a 3x2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3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2</w:t>
      </w:r>
    </w:p>
    <w:p>
      <w:pPr>
        <w:spacing w:before="200"/>
      </w:pPr>
      <w:r>
        <w:rPr>
          <w:rFonts w:ascii="Calibri" w:hAnsi="Calibri"/>
          <w:b/>
          <w:sz w:val="20"/>
        </w:rPr>
        <w:t>8. When do you use simple effects?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With non-significant interaction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With significant interaction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With heterogeneity of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With significant main effect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ANOVA, ANCOVA, Factorial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