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4213D"/>
          <w:sz w:val="32"/>
        </w:rPr>
        <w:t>Exam: Qualitative Observation</w:t>
      </w:r>
    </w:p>
    <w:p>
      <w:pPr>
        <w:jc w:val="center"/>
      </w:pPr>
      <w:r>
        <w:rPr>
          <w:rFonts w:ascii="Calibri" w:hAnsi="Calibri"/>
          <w:i/>
          <w:color w:val="4F6D8A"/>
          <w:sz w:val="20"/>
        </w:rPr>
        <w:t>Multiple Choice (Single Select) - 4 Answer Options</w:t>
      </w:r>
    </w:p>
    <w:p/>
    <w:p>
      <w:pPr>
        <w:spacing w:before="200"/>
      </w:pPr>
      <w:r>
        <w:rPr>
          <w:rFonts w:ascii="Calibri" w:hAnsi="Calibri"/>
          <w:b/>
          <w:sz w:val="20"/>
        </w:rPr>
        <w:t>1. What is participant observation?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A) Researcher analyzes texts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B) Researcher observes from outside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C) Researcher conducts interviews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D) Researcher participates in daily field life and observes</w:t>
      </w:r>
    </w:p>
    <w:p>
      <w:pPr>
        <w:spacing w:before="200"/>
      </w:pPr>
      <w:r>
        <w:rPr>
          <w:rFonts w:ascii="Calibri" w:hAnsi="Calibri"/>
          <w:b/>
          <w:sz w:val="20"/>
        </w:rPr>
        <w:t>2. What does thick description (Geertz) mean?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A) Very detailed protocols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B) Collecting lots of data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C) Decoding meaning layers, not just describing behavior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D) Statistical analysis</w:t>
      </w:r>
    </w:p>
    <w:p>
      <w:pPr>
        <w:spacing w:before="200"/>
      </w:pPr>
      <w:r>
        <w:rPr>
          <w:rFonts w:ascii="Calibri" w:hAnsi="Calibri"/>
          <w:b/>
          <w:sz w:val="20"/>
        </w:rPr>
        <w:t>3. What is a gatekeeper?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A) An interview partner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B) A coder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C) A person who controls field access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D) Security personnel</w:t>
      </w:r>
    </w:p>
    <w:p>
      <w:pPr>
        <w:spacing w:before="200"/>
      </w:pPr>
      <w:r>
        <w:rPr>
          <w:rFonts w:ascii="Calibri" w:hAnsi="Calibri"/>
          <w:b/>
          <w:sz w:val="20"/>
        </w:rPr>
        <w:t>4. What does going native mean?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A) Living in the field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B) Leaving the field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C) Speaking the native language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D) Over-identification with the field</w:t>
      </w:r>
    </w:p>
    <w:p>
      <w:pPr>
        <w:spacing w:before="200"/>
      </w:pPr>
      <w:r>
        <w:rPr>
          <w:rFonts w:ascii="Calibri" w:hAnsi="Calibri"/>
          <w:b/>
          <w:sz w:val="20"/>
        </w:rPr>
        <w:t>5. What are field notes?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A) Statistical tables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B) Transcribed interviews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C) Elaborated theories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D) Timely records of observations</w:t>
      </w:r>
    </w:p>
    <w:p>
      <w:pPr>
        <w:spacing w:before="200"/>
      </w:pPr>
      <w:r>
        <w:rPr>
          <w:rFonts w:ascii="Calibri" w:hAnsi="Calibri"/>
          <w:b/>
          <w:sz w:val="20"/>
        </w:rPr>
        <w:t>6. What is digital ethnography?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A) Research on technology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B) Research in online communities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C) Computer-based research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D) Library research</w:t>
      </w:r>
    </w:p>
    <w:p>
      <w:pPr>
        <w:spacing w:before="200"/>
      </w:pPr>
      <w:r>
        <w:rPr>
          <w:rFonts w:ascii="Calibri" w:hAnsi="Calibri"/>
          <w:b/>
          <w:sz w:val="20"/>
        </w:rPr>
        <w:t>7. What is multi-sited ethnography?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A) Comparison of multiple fields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B) Ethnography of multiple cultures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C) One field in multiple locations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D) Ethnography with multiple researchers</w:t>
      </w:r>
    </w:p>
    <w:p>
      <w:pPr>
        <w:spacing w:before="200"/>
      </w:pPr>
      <w:r>
        <w:rPr>
          <w:rFonts w:ascii="Calibri" w:hAnsi="Calibri"/>
          <w:b/>
          <w:sz w:val="20"/>
        </w:rPr>
        <w:t>8. Which ethical challenge is central to covert observation?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A) High costs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B) Too much data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C) Too little time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D) Lack of informed consent</w:t>
      </w:r>
    </w:p>
    <w:p>
      <w:r>
        <w:br w:type="page"/>
      </w:r>
    </w:p>
    <w:p>
      <w:pPr>
        <w:jc w:val="center"/>
      </w:pPr>
      <w:r>
        <w:rPr>
          <w:rFonts w:ascii="Calibri" w:hAnsi="Calibri"/>
          <w:b/>
          <w:color w:val="14213D"/>
          <w:sz w:val="32"/>
        </w:rPr>
        <w:t>Solutions</w:t>
      </w:r>
    </w:p>
    <w:p/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1: D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2: C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3: C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4: D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5: D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6: B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7: A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8: D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134" w:bottom="56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</w:pPr>
    <w:r>
      <w:rPr>
        <w:sz w:val="14"/>
        <w:szCs w:val="14"/>
        <w:rFonts w:ascii="Calibri" w:hAnsi="Calibri"/>
      </w:rPr>
      <w:t xml:space="preserve">Kevin Glock Statistical Consulting Services | GSC Services · www.kevinglock.de</w:t>
    </w:r>
    <w:r>
      <w:rPr>
        <w:sz w:val="18"/>
        <w:szCs w:val="18"/>
        <w:rFonts w:ascii="Cambria" w:hAnsi="Cambria"/>
      </w:rPr>
      <w:t xml:space="preserve"> | Seite </w:t>
    </w:r>
    <w:r>
      <w:rPr>
        <w:sz w:val="18"/>
        <w:szCs w:val="18"/>
        <w:rFonts w:ascii="Cambria" w:hAnsi="Cambria"/>
      </w:rPr>
      <w:fldChar w:fldCharType="begin"/>
    </w:r>
    <w:r>
      <w:rPr>
        <w:sz w:val="18"/>
        <w:szCs w:val="18"/>
        <w:rFonts w:ascii="Cambria" w:hAnsi="Cambria"/>
      </w:rPr>
      <w:instrText xml:space="preserve"> PAGE </w:instrText>
    </w:r>
    <w:r>
      <w:rPr>
        <w:sz w:val="18"/>
        <w:szCs w:val="18"/>
        <w:rFonts w:ascii="Cambria" w:hAnsi="Cambria"/>
      </w:rPr>
      <w:fldChar w:fldCharType="separate"/>
    </w:r>
    <w:r>
      <w:rPr>
        <w:sz w:val="18"/>
        <w:szCs w:val="18"/>
        <w:rFonts w:ascii="Cambria" w:hAnsi="Cambria"/>
      </w:rP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tblLook w:firstColumn="1" w:firstRow="1" w:lastColumn="0" w:lastRow="0" w:noHBand="0" w:noVBand="1" w:val="04A0"/>
    </w:tblPr>
    <w:tblGrid>
      <w:gridCol w:w="7285"/>
      <w:gridCol w:w="7285"/>
    </w:tblGrid>
    <w:tr>
      <w:tc>
        <w:tcPr>
          <w:tcW w:type="dxa" w:w="1701"/>
          <w:tcBorders>
            <w:top w:val="nil"/>
            <w:left w:val="nil"/>
            <w:bottom w:val="nil"/>
            <w:right w:val="nil"/>
          </w:tcBorders>
        </w:tcPr>
        <w:p>
          <w:r/>
          <w:r>
            <w:drawing>
              <wp:inline xmlns:a="http://schemas.openxmlformats.org/drawingml/2006/main" xmlns:pic="http://schemas.openxmlformats.org/drawingml/2006/picture">
                <wp:extent cx="1008000" cy="20160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-compact.png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07999" cy="2016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12869"/>
          <w:tcBorders>
            <w:top w:val="nil"/>
            <w:left w:val="nil"/>
            <w:bottom w:val="nil"/>
            <w:right w:val="nil"/>
          </w:tcBorders>
        </w:tcPr>
        <w:p>
          <w:pPr>
            <w:jc w:val="right"/>
            <w:spacing w:after="0" w:line="240" w:lineRule="auto"/>
          </w:pPr>
          <w:r>
            <w:rPr>
              <w:b/>
              <w:sz w:val="18"/>
              <w:szCs w:val="18"/>
              <w:rFonts w:ascii="Calibri" w:hAnsi="Calibri"/>
              <w:color w:val="14213D"/>
            </w:rPr>
            <w:t xml:space="preserve">Kevin Glock Statistical Consulting Services | GSC Services</w:t>
          </w:r>
        </w:p>
        <w:p>
          <w:pPr>
            <w:jc w:val="right"/>
          </w:pPr>
          <w:r>
            <w:rPr>
              <w:sz w:val="17"/>
              <w:szCs w:val="17"/>
              <w:rFonts w:ascii="Calibri" w:hAnsi="Calibri"/>
              <w:color w:val="4F6D8A"/>
            </w:rPr>
            <w:t xml:space="preserve">Exam: Qualitative Observation</w:t>
          </w:r>
        </w:p>
      </w:tc>
    </w:tr>
  </w:tbl>
  <w:p>
    <w:pPr>
      <w:spacing w:before="0" w:after="80"/>
    </w:pPr>
    <w:r>
      <w:rPr>
        <w:color w:val="FF6600"/>
        <w:sz w:val="8"/>
      </w:rPr>
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