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Fonts w:ascii="Calibri" w:hAnsi="Calibri"/>
          <w:szCs w:val="36"/>
          <w:color w:val="14213D"/>
        </w:rPr>
        <w:t>Propensity Score Matching &amp; Kausalität mit Beobachtungsdaten</w:t>
      </w:r>
      <w:pPr>
        <w:jc w:val="center"/>
      </w:pPr>
    </w:p>
    <w:p>
      <w:r>
        <w:rPr>
          <w:i/>
          <w:sz w:val="20"/>
          <w:rFonts w:ascii="Calibri" w:hAnsi="Calibri"/>
          <w:szCs w:val="20"/>
          <w:color w:val="4F6D8A"/>
        </w:rPr>
        <w:t>Selektionsverzerrung reduzieren — Behandlungseffekte schätzen</w:t>
      </w:r>
      <w:pPr>
        <w:jc w:val="center"/>
      </w:pPr>
    </w:p>
    <w:p/>
    <w:p>
      <w:r>
        <w:rPr>
          <w:b/>
          <w:sz w:val="22"/>
        </w:rPr>
        <w:t>1. Das Selektionsproblem</w:t>
      </w:r>
      <w:pPr/>
    </w:p>
    <w:p>
      <w:r>
        <w:t xml:space="preserve">Stell dir vor: Du vergleichst Studierende, die einen Mathe-Vorkurs besucht haben, mit denen, die nicht hingegangen sind. Die Vorkurs-Teilnehmer haben bessere Noten. Aber: waren die Vorkurs-Teilnehmer vielleicht schon vorher besser? Wer freiwillig geht, ist motivierter. Das ist </w:t>
      </w:r>
      <w:r>
        <w:rPr>
          <w:b/>
        </w:rPr>
        <w:t>Selection Bias</w:t>
      </w:r>
      <w:r>
        <w:t>.</w:t>
      </w:r>
    </w:p>
    <w:p>
      <w:r>
        <w:t>In Beobachtungsdaten sind Treatment und Kontrollgruppe selten direkt vergleichbar. Menschen selektieren sich selbst ins Treatment (Selbstselektion), oder das Treatment wird selektiv zugewiesen. Der beobachtete Unterschied ist eine verzerrte Schätzung des wahren kausalen Effekts.</w:t>
      </w:r>
    </w:p>
    <w:p>
      <w:r>
        <w:t xml:space="preserve">Der </w:t>
      </w:r>
      <w:r>
        <w:rPr>
          <w:b/>
        </w:rPr>
        <w:t>Propensity Score</w:t>
      </w:r>
      <w:r>
        <w:t xml:space="preserve"> ist die Lösung: die Wahrscheinlichkeit, das Treatment zu erhalten, gegeben die beobachteten Merkmale. P(T=1|X). Zwei Personen mit dem gleichen Propensity Score haben im Durchschnitt die gleiche Wahrscheinlichkeit, ins Treatment zu gehen — sie sind vergleichbar.</w:t>
      </w:r>
    </w:p>
    <w:p>
      <w:r>
        <w:rPr>
          <w:b/>
          <w:sz w:val="22"/>
        </w:rPr>
        <w:t>2. Der Propensity Score — Schätzung &amp; Interpretation</w:t>
      </w:r>
    </w:p>
    <w:p>
      <w:r>
        <w:t>Stell dir vor: 100 Personen mit unterschiedlichem Alter, Geschlecht, Bildung, Einkommen. Einige machen eine Weiterbildung (Treatment), andere nicht. Ein logistisches Modell schätzt: wie wahrscheinlich ist die Weiterbildungsteilnahme gegeben die Merkmale? Der vorhergesagte Wert (0-1) ist der Propensity Score.</w:t>
      </w:r>
    </w:p>
    <w:p>
      <w:r/>
      <w:r>
        <w:rPr>
          <w:b/>
        </w:rPr>
        <w:t>Schätzung</w:t>
      </w:r>
      <w:r>
        <w:t xml:space="preserve"> des Propensity Scores: Logistische Regression oder flexiblere Modelle (GAM, Gradient Boosting). Wichtig: das Modell soll die Treatment-Wahl gut vorhersagen — nicht das Outcome. Die </w:t>
      </w:r>
      <w:r>
        <w:rPr>
          <w:b/>
        </w:rPr>
        <w:t>Common Support</w:t>
      </w:r>
      <w:r>
        <w:t>-Bedingung: es müssen Personen mit ähnlichen Scores in beiden Gruppen existieren.</w:t>
      </w:r>
    </w:p>
    <w:p>
      <w:r>
        <w:t xml:space="preserve">Validierung: </w:t>
      </w:r>
      <w:r>
        <w:rPr>
          <w:b/>
        </w:rPr>
        <w:t>Balancing Check</w:t>
      </w:r>
      <w:r>
        <w:t xml:space="preserve"> — nach dem Matching sollten die Kovariaten in Treatment- und Kontrollgruppe ähnlich verteilt sein. Standardisierte Mittelwertdifferenzen &lt; 0.1 gelten als gut. </w:t>
      </w:r>
      <w:r>
        <w:rPr>
          <w:b/>
        </w:rPr>
        <w:t>Love Plot</w:t>
      </w:r>
      <w:r>
        <w:t>: visuell vorher/nachher — zeigt, ob das Matching funktioniert hat.</w:t>
      </w:r>
    </w:p>
    <w:p>
      <w:r>
        <w:rPr>
          <w:b/>
          <w:sz w:val="22"/>
        </w:rPr>
        <w:t>3. Matching-Verfahren im Detail</w:t>
      </w:r>
    </w:p>
    <w:p>
      <w:r>
        <w:t>Stell dir vor: Jede Person, die ein Training gemacht hat, bekommt einen 'Zwilling' zugeordnet — eine Person, die das Training nicht gemacht hat, aber die gleiche (oder ähnliche) Wahrscheinlichkeit dafür hatte. Der Unterschied im Outcome zwischen den Zwillingen ist der kausale Effekt.</w:t>
      </w:r>
    </w:p>
    <w:p>
      <w:r/>
      <w:r>
        <w:rPr>
          <w:b/>
        </w:rPr>
        <w:t>Nearest Neighbor Matching</w:t>
      </w:r>
      <w:r>
        <w:t xml:space="preserve">: Jeder Treatment-Einheit wird die Kontrolleinheit mit dem ähnlichsten Propensity Score zugeordnet (mit/ohne Zurücklegen). </w:t>
      </w:r>
      <w:r>
        <w:rPr>
          <w:b/>
        </w:rPr>
        <w:t>Caliper Matching</w:t>
      </w:r>
      <w:r>
        <w:t xml:space="preserve">: Maximaler Abstand (z. B. 0.05 Score-Punkte) — sonst kein Match. </w:t>
      </w:r>
      <w:r>
        <w:rPr>
          <w:b/>
        </w:rPr>
        <w:t>Stratification</w:t>
      </w:r>
      <w:r>
        <w:t>: Einteilung in Schichten des Scores, Schätzung pro Schicht, dann Mitteln.</w:t>
      </w:r>
    </w:p>
    <w:p>
      <w:r/>
      <w:r>
        <w:rPr>
          <w:b/>
        </w:rPr>
        <w:t>Kernel Matching</w:t>
      </w:r>
      <w:r>
        <w:t xml:space="preserve"> / </w:t>
      </w:r>
      <w:r>
        <w:rPr>
          <w:b/>
        </w:rPr>
        <w:t>Local Linear Matching</w:t>
      </w:r>
      <w:r>
        <w:t xml:space="preserve">: gewichtete Mittelung aller Kontrolleinheiten — das Gewicht hängt vom Abstand des Propensity Scores ab. </w:t>
      </w:r>
      <w:r>
        <w:rPr>
          <w:b/>
        </w:rPr>
        <w:t>Full Matching</w:t>
      </w:r>
      <w:r>
        <w:t xml:space="preserve">: Alle Einheiten werden in Subklassen eingeteilt, optimal partitioniert (oft beste Balance). </w:t>
      </w:r>
      <w:r>
        <w:rPr>
          <w:b/>
        </w:rPr>
        <w:t>Genetic Matching</w:t>
      </w:r>
      <w:r>
        <w:t>: Der Score wird iterativ optimiert.</w:t>
      </w:r>
    </w:p>
    <w:p>
      <w:r>
        <w:rPr>
          <w:b/>
          <w:sz w:val="22"/>
        </w:rPr>
        <w:t>4. Inverse Probability of Treatment Weighting (IPTW)</w:t>
      </w:r>
    </w:p>
    <w:p>
      <w:r>
        <w:t>Stell dir vor: Ein Unternehmen schult 80% der Männer, aber nur 30% der Frauen. Frauen sind unterrepräsentiert im Training — ihre Stimme zählt weniger. IPTW korrigiert das: Frauen im Treatment bekommen ein höheres Gewicht (1/P(Schätzung)), weil sie selten sind — Männer in der Kontrolle auch.</w:t>
      </w:r>
    </w:p>
    <w:p>
      <w:r/>
      <w:r>
        <w:rPr>
          <w:b/>
        </w:rPr>
        <w:t>IPTW</w:t>
      </w:r>
      <w:r>
        <w:t xml:space="preserve"> gewichtet jede Beobachtung mit dem inversen Propensity Score. Treatment: w = 1/P̂(T=1|X), Kontrolle: w = 1/(1-P̂(T=1|X)). Ergebnis: Eine pseudo-randomisierte Stichprobe, in der die Kovariaten unabhängig vom Treatment sind.</w:t>
      </w:r>
    </w:p>
    <w:p>
      <w:r/>
      <w:r>
        <w:rPr>
          <w:b/>
        </w:rPr>
        <w:t>Stabilisierte Gewichte</w:t>
      </w:r>
      <w:r>
        <w:t xml:space="preserve"> reduzieren die Varianz bei extremen Scores. Statt w = 1/P̂, nimm w = P̂(T=1)/P̂(T=1|X). </w:t>
      </w:r>
      <w:r>
        <w:rPr>
          <w:b/>
        </w:rPr>
        <w:t>Doubly Robust Estimation</w:t>
      </w:r>
      <w:r>
        <w:t>: Kombiniere IPTW mit Outcome-Modell. Schätzung ist konsistent, wenn mindestens eines der beiden Modelle korrekt spezifiziert ist — nicht beide müssen es sein.</w:t>
      </w:r>
    </w:p>
    <w:p>
      <w:r>
        <w:rPr>
          <w:b/>
          <w:sz w:val="22"/>
        </w:rPr>
        <w:t>5. ATT, ATE &amp; Heterogene Effekte</w:t>
      </w:r>
    </w:p>
    <w:p>
      <w:r>
        <w:t xml:space="preserve">Verschiedene kausaleParameter fragen Unterschiedliches: </w:t>
      </w:r>
      <w:r>
        <w:rPr>
          <w:b/>
        </w:rPr>
        <w:t>ATE</w:t>
      </w:r>
      <w:r>
        <w:t xml:space="preserve"> = durchschnittlicher Effekt auf die gesamte Population. </w:t>
      </w:r>
      <w:r>
        <w:rPr>
          <w:b/>
        </w:rPr>
        <w:t>ATT</w:t>
      </w:r>
      <w:r>
        <w:t xml:space="preserve"> = durchschnittlicher Effekt auf die tatsächlich Behandelten ('Treatment on the Treated'). </w:t>
      </w:r>
      <w:r>
        <w:rPr>
          <w:b/>
        </w:rPr>
        <w:t>ATU</w:t>
      </w:r>
      <w:r>
        <w:t xml:space="preserve"> = Effekt auf die Unbehandelten (was wäre, wenn sie behandelt würden?).</w:t>
      </w:r>
    </w:p>
    <w:p>
      <w:r>
        <w:t xml:space="preserve">Der </w:t>
      </w:r>
      <w:r>
        <w:rPr>
          <w:b/>
        </w:rPr>
        <w:t>ATE</w:t>
      </w:r>
      <w:r>
        <w:t xml:space="preserve"> ist für die Politikfrage relevant: 'Sollten wir das Programm für alle einführen?' Der </w:t>
      </w:r>
      <w:r>
        <w:rPr>
          <w:b/>
        </w:rPr>
        <w:t>ATT</w:t>
      </w:r>
      <w:r>
        <w:t xml:space="preserve"> für die Evaluationsfrage: 'Hat das Programm bei den Teilnehmern gewirkt?' Der </w:t>
      </w:r>
      <w:r>
        <w:rPr>
          <w:b/>
        </w:rPr>
        <w:t>ATT</w:t>
      </w:r>
      <w:r>
        <w:t xml:space="preserve"> wird meist präziser geschätzt, weil die Behandelten im Fokus der Daten sind — mehr Common Support.</w:t>
      </w:r>
    </w:p>
    <w:p>
      <w:r/>
      <w:r>
        <w:rPr>
          <w:b/>
        </w:rPr>
        <w:t>Heterogene Treatment-Effekte</w:t>
      </w:r>
      <w:r>
        <w:t xml:space="preserve"> (HTE): Wirkt das Treatment unterschiedlich stark in Subgruppen? CATE (Conditional ATE) schätzt den Effekt gegeben Merkmale. Mit </w:t>
      </w:r>
      <w:r>
        <w:rPr>
          <w:b/>
        </w:rPr>
        <w:t>Causal Forests</w:t>
      </w:r>
      <w:r>
        <w:t xml:space="preserve"> oder </w:t>
      </w:r>
      <w:r>
        <w:rPr>
          <w:b/>
        </w:rPr>
        <w:t>Bayesian Additive Regression Trees (BART)</w:t>
      </w:r>
      <w:r>
        <w:t xml:space="preserve"> können individuelle Effektprofile erstellt werden — personalisierte Kausalität.</w:t>
      </w:r>
    </w:p>
    <w:p>
      <w:r>
        <w:rPr>
          <w:b/>
          <w:sz w:val="22"/>
        </w:rPr>
        <w:t>6. Grenzen &amp; Fallstricke des PSM</w:t>
      </w:r>
    </w:p>
    <w:p>
      <w:r>
        <w:t xml:space="preserve">Propensity Score Matching ist mächtig, aber nicht perfekt. </w:t>
      </w:r>
      <w:r>
        <w:rPr>
          <w:b/>
        </w:rPr>
        <w:t>Limitation 1: Unobserved Confounders</w:t>
      </w:r>
      <w:r>
        <w:t xml:space="preserve"> — PSM kontrolliert nur für beobachtete Merkmale. Ein unbeobachteter Confounder (z. B. Motivation) kann die Ergebnisse immer noch verzerren. </w:t>
      </w:r>
      <w:r>
        <w:rPr>
          <w:b/>
        </w:rPr>
        <w:t>Sensitivitätsanalyse</w:t>
      </w:r>
      <w:r>
        <w:t xml:space="preserve"> ist Pflicht.</w:t>
      </w:r>
    </w:p>
    <w:p>
      <w:r/>
      <w:r>
        <w:rPr>
          <w:b/>
        </w:rPr>
        <w:t>Limitation 2: Common Support</w:t>
      </w:r>
      <w:r>
        <w:t xml:space="preserve"> — Wenn Treatment und Kontrolle im Propensity Score keine Überlappung haben, sind sie nicht vergleichbar. Lösung: Trimmung des Bereichs (z. B. nur Scores zwischen 0.1 und 0.9). </w:t>
      </w:r>
      <w:r>
        <w:rPr>
          <w:b/>
        </w:rPr>
        <w:t>Limitation 3: Große Samples</w:t>
      </w:r>
      <w:r>
        <w:t xml:space="preserve"> — PSM braucht ausreichend Daten, besonders für ATT bei seltenem Treatment.</w:t>
      </w:r>
    </w:p>
    <w:p>
      <w:r>
        <w:t xml:space="preserve">Praktisches Werkzeug: </w:t>
      </w:r>
      <w:r>
        <w:rPr>
          <w:b/>
        </w:rPr>
        <w:t>Rosenbaum-Bounds</w:t>
      </w:r>
      <w:r>
        <w:t xml:space="preserve"> (Sensitivitätsanalyse) — wie stark müsste ein unbeobachteter Confounder sein, um das Ergebnis umzukehren? </w:t>
      </w:r>
      <w:r>
        <w:rPr>
          <w:b/>
        </w:rPr>
        <w:t>Placebo-Tests</w:t>
      </w:r>
      <w:r>
        <w:t xml:space="preserve"> — auf Variablen testen, die nicht vom Treatment beeinflusst werden können (z. B. vor Treatment gemessen). </w:t>
      </w:r>
      <w:r>
        <w:rPr>
          <w:b/>
        </w:rPr>
        <w:t>Covariate Balance</w:t>
      </w:r>
      <w:r>
        <w:t xml:space="preserve"> immer dokumentieren.</w:t>
      </w:r>
    </w:p>
    <w:p>
      <w:pPr>
        <w:jc w:val="center"/>
      </w:pPr>
      <w:r>
        <w:rPr>
          <w:sz w:val="12"/>
        </w:rPr>
        <w:t>────────────────────────────────────────────────────────────────────────────────</w:t>
      </w:r>
    </w:p>
    <w:p>
      <w:pPr>
        <w:jc w:val="center"/>
      </w:pPr>
      <w:r>
        <w:rPr>
          <w:sz w:val="16"/>
        </w:rPr>
        <w:t>Kevin Glock Statistical Consulting Services | GSC Services · www.kevinglock.de</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sz w:val="14"/>
        <w:szCs w:val="14"/>
        <w:rFonts w:ascii="Calibri" w:hAnsi="Calibri"/>
      </w:rPr>
      <w:t xml:space="preserve">Kevin Glock Statistical Consulting Services | GSC Services · www.kevinglock.de</w:t>
    </w:r>
    <w:r>
      <w:rPr>
        <w:sz w:val="18"/>
        <w:szCs w:val="18"/>
        <w:rFonts w:ascii="Cambria" w:hAnsi="Cambria"/>
      </w:rPr>
      <w:t xml:space="preserve"> | Seite </w:t>
    </w:r>
    <w:r>
      <w:rPr>
        <w:sz w:val="18"/>
        <w:szCs w:val="18"/>
        <w:rFonts w:ascii="Cambria" w:hAnsi="Cambria"/>
      </w:rPr>
      <w:fldChar w:fldCharType="begin"/>
    </w:r>
    <w:r>
      <w:rPr>
        <w:sz w:val="18"/>
        <w:szCs w:val="18"/>
        <w:rFonts w:ascii="Cambria" w:hAnsi="Cambria"/>
      </w:rPr>
      <w:instrText xml:space="preserve"> PAGE </w:instrText>
    </w:r>
    <w:r>
      <w:rPr>
        <w:sz w:val="18"/>
        <w:szCs w:val="18"/>
        <w:rFonts w:ascii="Cambria" w:hAnsi="Cambria"/>
      </w:rPr>
      <w:fldChar w:fldCharType="separate"/>
    </w:r>
    <w:r>
      <w:rPr>
        <w:sz w:val="18"/>
        <w:szCs w:val="18"/>
        <w:rFonts w:ascii="Cambria" w:hAnsi="Cambria"/>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ook w:firstColumn="1" w:firstRow="1" w:lastColumn="0" w:lastRow="0" w:noHBand="0" w:noVBand="1" w:val="04A0"/>
    </w:tblPr>
    <w:tblGrid>
      <w:gridCol w:w="7285"/>
      <w:gridCol w:w="7285"/>
    </w:tblGrid>
    <w:tr>
      <w:tc>
        <w:tcPr>
          <w:tcW w:type="dxa" w:w="1701"/>
          <w:tcBorders>
            <w:top w:val="nil"/>
            <w:left w:val="nil"/>
            <w:bottom w:val="nil"/>
            <w:right w:val="nil"/>
          </w:tcBorders>
        </w:tcPr>
        <w:p>
          <w:r>
            <w:drawing>
              <wp:inline xmlns:a="http://schemas.openxmlformats.org/drawingml/2006/main" xmlns:pic="http://schemas.openxmlformats.org/drawingml/2006/picture" distT="0" distB="0" distL="0" distR="0">
                <wp:extent cx="1008000" cy="201600"/>
                <wp:effectExtent l="0" t="0" r="0" b="0"/>
                <wp:docPr id="1" name="Picture 1"/>
                <wp:cNvGraphicFramePr>
                  <a:graphicFrameLocks noChangeAspect="1"/>
                </wp:cNvGraphicFramePr>
                <a:graphic>
                  <a:graphicData uri="http://schemas.openxmlformats.org/drawingml/2006/picture">
                    <pic:pic>
                      <pic:nvPicPr>
                        <pic:cNvPr id="0" name="logo-compact.png"/>
                        <pic:cNvPicPr/>
                      </pic:nvPicPr>
                      <pic:blipFill>
                        <a:blip r:embed="rId2"/>
                        <a:stretch>
                          <a:fillRect/>
                        </a:stretch>
                      </pic:blipFill>
                      <pic:spPr>
                        <a:xfrm>
                          <a:off x="0" y="0"/>
                          <a:ext cx="1007999" cy="201600"/>
                        </a:xfrm>
                        <a:prstGeom prst="rect"/>
                      </pic:spPr>
                    </pic:pic>
                  </a:graphicData>
                </a:graphic>
              </wp:inline>
            </w:drawing>
          </w:r>
        </w:p>
      </w:tc>
      <w:tc>
        <w:tcPr>
          <w:tcW w:type="dxa" w:w="12869"/>
          <w:tcBorders>
            <w:top w:val="nil"/>
            <w:left w:val="nil"/>
            <w:bottom w:val="nil"/>
            <w:right w:val="nil"/>
          </w:tcBorders>
        </w:tcPr>
        <w:p>
          <w:pPr>
            <w:jc w:val="right"/>
            <w:spacing w:after="0" w:line="240" w:lineRule="auto"/>
          </w:pPr>
          <w:r>
            <w:rPr>
              <w:b/>
              <w:sz w:val="18"/>
              <w:szCs w:val="18"/>
              <w:rFonts w:ascii="Calibri" w:hAnsi="Calibri"/>
              <w:color w:val="14213D"/>
            </w:rPr>
            <w:t xml:space="preserve">Kevin Glock Statistical Consulting Services | GSC Services</w:t>
          </w:r>
        </w:p>
        <w:p>
          <w:pPr>
            <w:jc w:val="right"/>
          </w:pPr>
          <w:r>
            <w:rPr>
              <w:sz w:val="17"/>
              <w:szCs w:val="17"/>
              <w:rFonts w:ascii="Calibri" w:hAnsi="Calibri"/>
              <w:color w:val="4F6D8A"/>
            </w:rPr>
            <w:t xml:space="preserve">Propensity Score Matching</w:t>
          </w:r>
        </w:p>
      </w:tc>
    </w:tr>
  </w:tbl>
  <w:p>
    <w:pPr>
      <w:spacing w:before="0" w:after="80"/>
    </w:pPr>
    <w:r>
      <w:rPr>
        <w:color w:val="FF6600"/>
        <w:sz w:val="8"/>
      </w:rPr>
      <w: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