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32"/>
        </w:rPr>
        <w:t>Diktionär — Basic</w:t>
      </w:r>
    </w:p>
    <w:p>
      <w:pPr>
        <w:jc w:val="center"/>
      </w:pPr>
      <w:r>
        <w:rPr>
          <w:rFonts w:ascii="Calibri" w:hAnsi="Calibri"/>
          <w:i/>
          <w:color w:val="666666"/>
          <w:sz w:val="20"/>
        </w:rPr>
        <w:t>Deutsch-Englisches Glossar statistischer Fachbegriffe</w:t>
      </w:r>
    </w:p>
    <w:p/>
    <w:p>
      <w:pPr>
        <w:spacing w:before="0" w:after="60"/>
      </w:pPr>
      <w:r>
        <w:rPr>
          <w:rFonts w:ascii="Calibri" w:hAnsi="Calibri"/>
          <w:b/>
          <w:color w:val="FF6600"/>
          <w:sz w:val="20"/>
        </w:rPr>
        <w:t>Grundbegriffe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#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Deutsch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English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Definition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Grundgesamtheit (Population)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Population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Alle Elemente/Personen, über die eine Aussage getroffen werden soll.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Stichprobe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Sample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Teilmenge der Grundgesamtheit, die tatsächlich untersucht wird.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Merkmal (Variable)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Variable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Eigenschaft eines Elements, die gemessen wird.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Merkmalsausprägung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Characteristic Value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Konkreter Wert oder Kategorie eines Merkmals.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Urliste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Raw Data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Unsortierte Liste aller erhobenen Rohdaten.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FF6600"/>
          <w:sz w:val="20"/>
        </w:rPr>
        <w:t>Häufigkeiten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#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Deutsch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English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Definition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Absolute Häufigkeit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Absolute Frequency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Anzahl des Auftretens einer Merkmalsausprägung.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Relative Häufigkeit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Relative Frequency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Absolute Häufigkeit geteilt durch Gesamtzahl.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Klassenbreite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Class Width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Differenz zwischen oberer und unterer Klassengrenze.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FF6600"/>
          <w:sz w:val="20"/>
        </w:rPr>
        <w:t>Skalenniveaus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#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Deutsch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English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Definition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Nominalskala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Nominal Scale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Kategorien ohne Reihenfolge (z.B. Geschlecht, Studienfach).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Ordinalskala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Ordinal Scale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Werte mit natürlicher Reihenfolge, aber ohne feste Abstände.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Intervallskala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Interval Scale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Gleiche Abstände, aber kein natürlicher Nullpunkt (z.B. °C).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Verhältnisskala (Ratioskala)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Ratio Scale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Gleiche Abstände und absoluter Nullpunkt (z.B. Größe).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FF6600"/>
          <w:sz w:val="20"/>
        </w:rPr>
        <w:t>Lageparameter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#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Deutsch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English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Definition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Arithmetisches Mittel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Mean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Summe aller Werte geteilt durch Anzahl.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Median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Median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Mittlerer Wert einer sortierten Datenreihe. Robuster als Mittelwert.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Modalwert (Modus)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Mode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Häufigster Wert in einer Datenreihe.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FF6600"/>
          <w:sz w:val="20"/>
        </w:rPr>
        <w:t>Streuungsparameter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#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Deutsch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English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Definition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Spannweite (Range)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Range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Differenz zwischen Maximum und Minimum.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Varianz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Variance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Mittlere quadratische Abweichung vom Mittelwert.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Standardabweichung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Standard Deviation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Quadratwurzel der Varianz. Gleiche Einheit wie Mittelwert.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FF6600"/>
          <w:sz w:val="20"/>
        </w:rPr>
        <w:t>Wahrscheinlichkeit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#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Deutsch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English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Definition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Zufallsexperiment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Random Experiment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Vorgang mit unsicherem Ausgang, wiederholbar.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Ergebnisraum Ω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Sample Space Ω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Menge aller möglichen Ergebnisse.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Ereignis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Event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Teilmenge des Ergebnisraums.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Gegenereignis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Complement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Alle Ergebnisse, die nicht im Ereignis sind.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Laplace-Wahrscheinlichkeit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Laplace Probability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WS = (#günstige) / (#mögliche) bei Gleich-WS.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6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Baumdiagramm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Tree Diagram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Grafik mehrstufiger Zufallsexperimente mit Pfadregeln.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7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Pfadregel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Path Rule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WS eines Pfades = Produkt der Einzel-WS.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8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Bedingte Wahrscheinlichkeit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Conditional Probability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P(A|B) = P(A∩B) / P(B).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9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Vierfeldertafel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2×2 Contingency Table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Tabelle für bedingte WS und stochastische Unabhängigkeit.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10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Stochastische Unabhängigkeit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Stochastic Independence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P(A∩B) = P(A)·P(B).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11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Zufallsvariable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Random Variable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Variable, deren Werte vom Zufall abhängen.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12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Erwartungswert E(X)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Expected Value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Mittelwert über unendliche Wiederholungen.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13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Bernoulli-Experiment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Bernoulli Trial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Zwei Ausgänge: Erfolg (p) und Misserfolg (1-p).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FF6600"/>
          <w:sz w:val="20"/>
        </w:rPr>
        <w:t>Verteilungen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#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Deutsch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English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Definition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Binomialverteilung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Binomial Distribution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Anzahl Erfolge in n Versuchen mit WS p.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Normalverteilung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Normal Distribution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Glockenförmige, symmetrische stetige Verteilung (μ, σ).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Sigma-Regeln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Sigma Rules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Ca. 68% (1σ), 95% (2σ), 99.7% (3σ) um μ bei NV.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FF6600"/>
          <w:sz w:val="20"/>
        </w:rPr>
        <w:t>Testen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#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Deutsch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English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Definition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Hypothesentest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Hypothesis Test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Entscheidung über H₀ basierend auf Stichprobe.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Nullhypothese H₀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Null Hypothesis H₀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Annahme: kein Effekt / Unterschied.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Alternativhypothese H₁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Alternative Hypothesis H₁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Gegenthese: es gibt einen Effekt.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Signifikanzniveau α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Significance Level α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Max. WS für Fehler 1. Art. Üblich: 0.05.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Fehler 1. Art (α-Fehler)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Type I Error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H₀ abgelehnt, obwohl wahr. Falsch-Positiv.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6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Fehler 2. Art (β-Fehler)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Type II Error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H₀ nicht abgelehnt, obwohl falsch. Falsch-Negativ.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7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Ablehnungsbereich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Rejection Region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Ergebnisse, bei denen H₀ abgelehnt wird.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8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p-Wert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p-value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P(Ergebnis | H₀). p &lt; α → H₀ ablehnen.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sz w:val="14"/>
        <w:szCs w:val="14"/>
        <w:rFonts w:ascii="Calibri" w:hAnsi="Calibri"/>
      </w:rPr>
      <w:t xml:space="preserve">Kevin Glock Statistical Consulting Services | GSC Services · www.kevinglock.de</w:t>
    </w:r>
    <w:r>
      <w:rPr>
        <w:sz w:val="18"/>
        <w:szCs w:val="18"/>
        <w:rFonts w:ascii="Cambria" w:hAnsi="Cambria"/>
      </w:rPr>
      <w:t xml:space="preserve"> | Seite </w:t>
    </w:r>
    <w:r>
      <w:rPr>
        <w:sz w:val="18"/>
        <w:szCs w:val="18"/>
        <w:rFonts w:ascii="Cambria" w:hAnsi="Cambria"/>
      </w:rPr>
      <w:fldChar w:fldCharType="begin"/>
    </w:r>
    <w:r>
      <w:rPr>
        <w:sz w:val="18"/>
        <w:szCs w:val="18"/>
        <w:rFonts w:ascii="Cambria" w:hAnsi="Cambria"/>
      </w:rPr>
      <w:instrText xml:space="preserve"> PAGE </w:instrText>
    </w:r>
    <w:r>
      <w:rPr>
        <w:sz w:val="18"/>
        <w:szCs w:val="18"/>
        <w:rFonts w:ascii="Cambria" w:hAnsi="Cambria"/>
      </w:rPr>
      <w:fldChar w:fldCharType="separate"/>
    </w:r>
    <w:r>
      <w:rPr>
        <w:sz w:val="18"/>
        <w:szCs w:val="18"/>
        <w:rFonts w:ascii="Cambria" w:hAnsi="Cambria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</w:tcPr>
        <w:p>
          <w:pPr/>
          <w:r>
            <w:drawing>
              <wp:inline xmlns:a="http://schemas.openxmlformats.org/drawingml/2006/main" xmlns:pic="http://schemas.openxmlformats.org/drawingml/2006/picture">
                <wp:extent cx="1008000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" cy="12801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</w:tcPr>
        <w:p>
          <w:pPr>
            <w:jc w:val="right"/>
            <w:spacing w:after="0" w:line="240" w:lineRule="auto"/>
          </w:pPr>
          <w:r>
            <w:rPr>
              <w:b/>
              <w:sz w:val="18"/>
              <w:szCs w:val="18"/>
              <w:rFonts w:ascii="Calibri" w:hAnsi="Calibri"/>
              <w:color w:val="14213D"/>
            </w:rPr>
            <w:t xml:space="preserve">Kevin Glock Statistical Consulting Services | GSC Services</w:t>
          </w:r>
        </w:p>
        <w:p>
          <w:pPr>
            <w:jc w:val="right"/>
          </w:pPr>
          <w:r>
            <w:rPr>
              <w:sz w:val="17"/>
              <w:szCs w:val="17"/>
              <w:rFonts w:ascii="Calibri" w:hAnsi="Calibri"/>
              <w:color w:val="4F6D8A"/>
            </w:rPr>
            <w:t xml:space="preserve">Diktionär — Basic</w:t>
          </w:r>
        </w:p>
      </w:tc>
    </w:tr>
  </w:tbl>
  <w:p w14:paraId="7C74DF6B" w14:textId="77777777" w:rsidR="003D5C0B" w:rsidRDefault="00000000">
    <w:pPr>
      <w:spacing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