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A24E" w14:textId="77777777" w:rsidR="00D43781" w:rsidRPr="00EC22A3" w:rsidRDefault="00000000">
      <w:pPr>
        <w:jc w:val="center"/>
        <w:rPr>
          <w:lang w:val="de-DE"/>
        </w:rPr>
      </w:pPr>
      <w:r w:rsidRPr="00EC22A3">
        <w:rPr>
          <w:rFonts w:ascii="Calibri" w:hAnsi="Calibri"/>
          <w:b/>
          <w:color w:val="14213D"/>
          <w:sz w:val="36"/>
          <w:lang w:val="de-DE"/>
        </w:rPr>
        <w:t>Messtheorie und Operationalisierung</w:t>
      </w:r>
    </w:p>
    <w:p w14:paraId="2FAF36D8" w14:textId="77777777" w:rsidR="00D43781" w:rsidRPr="00EC22A3" w:rsidRDefault="00000000">
      <w:pPr>
        <w:jc w:val="center"/>
        <w:rPr>
          <w:lang w:val="de-DE"/>
        </w:rPr>
      </w:pPr>
      <w:r w:rsidRPr="00EC22A3">
        <w:rPr>
          <w:rFonts w:ascii="Calibri" w:hAnsi="Calibri"/>
          <w:i/>
          <w:color w:val="4F6D8A"/>
          <w:sz w:val="20"/>
          <w:lang w:val="de-DE"/>
        </w:rPr>
        <w:t>Wissenschaftstheoretische und methodische Grundlagen</w:t>
      </w:r>
    </w:p>
    <w:p w14:paraId="6FD7D242" w14:textId="77777777" w:rsidR="00D43781" w:rsidRPr="00EC22A3" w:rsidRDefault="00D43781">
      <w:pPr>
        <w:rPr>
          <w:lang w:val="de-DE"/>
        </w:rPr>
      </w:pPr>
    </w:p>
    <w:p w14:paraId="45AA2D5B" w14:textId="77777777" w:rsidR="00D43781" w:rsidRPr="00EC22A3" w:rsidRDefault="00000000">
      <w:pPr>
        <w:spacing w:before="280" w:after="80"/>
        <w:rPr>
          <w:lang w:val="de-DE"/>
        </w:rPr>
      </w:pPr>
      <w:r w:rsidRPr="00EC22A3">
        <w:rPr>
          <w:rFonts w:ascii="Calibri" w:hAnsi="Calibri"/>
          <w:b/>
          <w:color w:val="14213D"/>
          <w:sz w:val="28"/>
          <w:lang w:val="de-DE"/>
        </w:rPr>
        <w:t>1. Grundbegriffe</w:t>
      </w:r>
    </w:p>
    <w:p w14:paraId="2C9ACDCF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Kannst du 'Intelligenz' sehen oder anfassen? Nein – sie ist ein Konstrukt, ein</w:t>
      </w:r>
    </w:p>
    <w:p w14:paraId="49D63832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theoretisches Konzept, das nicht direkt beobachtbar ist. Um es trotzdem zu</w:t>
      </w:r>
    </w:p>
    <w:p w14:paraId="3A36A045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untersuchen, brauchst du eine Operationalisierung: Du übersetzt das abstrakte</w:t>
      </w:r>
    </w:p>
    <w:p w14:paraId="5CAF4331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Konzept in konkrete, messbare Indikatoren (z. B. 'Punkte im IQ-Test'). Das ist</w:t>
      </w:r>
    </w:p>
    <w:p w14:paraId="4AB19D9F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der Kern der Messtheorie: Wie komme ich von einer Idee zu einer Zahl?</w:t>
      </w:r>
    </w:p>
    <w:p w14:paraId="1AF8A90B" w14:textId="77777777" w:rsidR="00D43781" w:rsidRPr="00EC22A3" w:rsidRDefault="00D43781">
      <w:pPr>
        <w:rPr>
          <w:lang w:val="de-DE"/>
        </w:rPr>
      </w:pPr>
    </w:p>
    <w:p w14:paraId="5079BB06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Messen: Zahlen oder Symbolen nach Regeln zuordnen (Stevens 1946).</w:t>
      </w:r>
    </w:p>
    <w:p w14:paraId="6908BF93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Konstrukt: Theoretischer Begriff, nicht direkt beobachtbar (Intelligenz, Zufriedenheit).</w:t>
      </w:r>
    </w:p>
    <w:p w14:paraId="0FAA67E9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Operationalisierung: Konstrukt in messbare Indikatoren übersetzen.</w:t>
      </w:r>
    </w:p>
    <w:p w14:paraId="176112A4" w14:textId="77777777" w:rsidR="00D43781" w:rsidRPr="00EC22A3" w:rsidRDefault="00000000">
      <w:pPr>
        <w:spacing w:after="80"/>
        <w:rPr>
          <w:rFonts w:ascii="Calibri" w:hAnsi="Calibri"/>
          <w:sz w:val="19"/>
          <w:lang w:val="de-DE"/>
        </w:rPr>
      </w:pPr>
      <w:r w:rsidRPr="00EC22A3">
        <w:rPr>
          <w:rFonts w:ascii="Calibri" w:hAnsi="Calibri"/>
          <w:sz w:val="19"/>
          <w:lang w:val="de-DE"/>
        </w:rPr>
        <w:t>Indikator: beobachtbare Variable, die das Konstrukt abbilden soll.</w:t>
      </w:r>
    </w:p>
    <w:p w14:paraId="182487A8" w14:textId="77777777" w:rsidR="00EC22A3" w:rsidRPr="00EC22A3" w:rsidRDefault="00EC22A3">
      <w:pPr>
        <w:spacing w:after="80"/>
        <w:rPr>
          <w:lang w:val="de-DE"/>
        </w:rPr>
      </w:pPr>
    </w:p>
    <w:p w14:paraId="0214CB83" w14:textId="77777777" w:rsidR="00D43781" w:rsidRPr="00EC22A3" w:rsidRDefault="00000000">
      <w:pPr>
        <w:spacing w:before="280" w:after="80"/>
        <w:rPr>
          <w:lang w:val="de-DE"/>
        </w:rPr>
      </w:pPr>
      <w:r w:rsidRPr="00EC22A3">
        <w:rPr>
          <w:rFonts w:ascii="Calibri" w:hAnsi="Calibri"/>
          <w:b/>
          <w:color w:val="14213D"/>
          <w:sz w:val="28"/>
          <w:lang w:val="de-DE"/>
        </w:rPr>
        <w:t>2. Skalenniveaus (Stevens)</w:t>
      </w:r>
    </w:p>
    <w:p w14:paraId="72D02153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Nominalskala: Gleich / Ungleich. Kategorien ohne Rang (Geschlecht, Religion, Partei). Kein Mittelwert, nur Modus.</w:t>
      </w:r>
    </w:p>
    <w:p w14:paraId="359B6AF6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Ordinalskala: Rangfolge, aber keine gleichen Abstände (Bildungsgrad: Hauptschule &lt; Realschule &lt; Abi). Median erlaubt, Mittelwert problematisch.</w:t>
      </w:r>
    </w:p>
    <w:p w14:paraId="266328E0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Intervallskala: Gleiche Abstände, aber kein absoluter Nullpunkt (Temperatur in Celsius). Mittelwert und Standardabweichung sinnvoll.</w:t>
      </w:r>
    </w:p>
    <w:p w14:paraId="4523D41E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 xml:space="preserve">Ratio-Skala: Gleiche Abstände + </w:t>
      </w:r>
      <w:proofErr w:type="spellStart"/>
      <w:r w:rsidRPr="00EC22A3">
        <w:rPr>
          <w:rFonts w:ascii="Calibri" w:hAnsi="Calibri"/>
          <w:sz w:val="19"/>
          <w:lang w:val="de-DE"/>
        </w:rPr>
        <w:t>natuerlicher</w:t>
      </w:r>
      <w:proofErr w:type="spellEnd"/>
      <w:r w:rsidRPr="00EC22A3">
        <w:rPr>
          <w:rFonts w:ascii="Calibri" w:hAnsi="Calibri"/>
          <w:sz w:val="19"/>
          <w:lang w:val="de-DE"/>
        </w:rPr>
        <w:t xml:space="preserve"> Nullpunkt (Alter, Einkommen, Reaktionszeit). Alle Rechenoperationen erlaubt.</w:t>
      </w:r>
    </w:p>
    <w:p w14:paraId="0A8D6C53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Kontroverse: Werden Likert-Skalen (1-5) als intervallskaliert behandelt? In der Praxis ja (parametrische Tests sind robust), in der Theorie nein.</w:t>
      </w:r>
    </w:p>
    <w:p w14:paraId="6E81756E" w14:textId="77777777" w:rsidR="00D43781" w:rsidRPr="00EC22A3" w:rsidRDefault="00D43781">
      <w:pPr>
        <w:rPr>
          <w:lang w:val="de-DE"/>
        </w:rPr>
      </w:pPr>
    </w:p>
    <w:p w14:paraId="7782EF86" w14:textId="77777777" w:rsidR="00D43781" w:rsidRPr="00EC22A3" w:rsidRDefault="00000000">
      <w:pPr>
        <w:spacing w:before="280" w:after="80"/>
        <w:rPr>
          <w:lang w:val="de-DE"/>
        </w:rPr>
      </w:pPr>
      <w:r w:rsidRPr="00EC22A3">
        <w:rPr>
          <w:rFonts w:ascii="Calibri" w:hAnsi="Calibri"/>
          <w:b/>
          <w:color w:val="14213D"/>
          <w:sz w:val="28"/>
          <w:lang w:val="de-DE"/>
        </w:rPr>
        <w:t>3. Reliabilität</w:t>
      </w:r>
    </w:p>
    <w:p w14:paraId="752BDD8A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Reliabilität = Messgenauigkeit / Zuverlässigkeit. Wie reproduzierbar ist das Messergebnis?</w:t>
      </w:r>
    </w:p>
    <w:p w14:paraId="2EDEECB2" w14:textId="77777777" w:rsidR="00D43781" w:rsidRPr="00EC22A3" w:rsidRDefault="00000000">
      <w:pPr>
        <w:pStyle w:val="Aufzhlungszeichen"/>
        <w:rPr>
          <w:lang w:val="de-DE"/>
        </w:rPr>
      </w:pPr>
      <w:proofErr w:type="spellStart"/>
      <w:r w:rsidRPr="00EC22A3">
        <w:rPr>
          <w:rFonts w:ascii="Calibri" w:hAnsi="Calibri"/>
          <w:sz w:val="19"/>
          <w:lang w:val="de-DE"/>
        </w:rPr>
        <w:t>Retest</w:t>
      </w:r>
      <w:proofErr w:type="spellEnd"/>
      <w:r w:rsidRPr="00EC22A3">
        <w:rPr>
          <w:rFonts w:ascii="Calibri" w:hAnsi="Calibri"/>
          <w:sz w:val="19"/>
          <w:lang w:val="de-DE"/>
        </w:rPr>
        <w:t>-Reliabilität: Korrelation zw. zwei Messungen (gleiches Instrument, gleiche Person, zeitlicher Abstand).</w:t>
      </w:r>
    </w:p>
    <w:p w14:paraId="392B425B" w14:textId="77777777" w:rsidR="00D43781" w:rsidRPr="00EC22A3" w:rsidRDefault="00000000">
      <w:pPr>
        <w:pStyle w:val="Aufzhlungszeichen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Paralleltest-Reliabilität: Korrelation zweier paralleler Testversionen.</w:t>
      </w:r>
    </w:p>
    <w:p w14:paraId="4B9D60CB" w14:textId="77777777" w:rsidR="00D43781" w:rsidRDefault="00000000">
      <w:pPr>
        <w:pStyle w:val="Aufzhlungszeichen"/>
      </w:pPr>
      <w:r w:rsidRPr="00EC22A3">
        <w:rPr>
          <w:rFonts w:ascii="Calibri" w:hAnsi="Calibri"/>
          <w:sz w:val="19"/>
          <w:lang w:val="de-DE"/>
        </w:rPr>
        <w:t xml:space="preserve">Split-Half-Reliabilität: Test wird halbiert (gerade/ungerade Items), Korrelation der </w:t>
      </w:r>
      <w:proofErr w:type="spellStart"/>
      <w:r w:rsidRPr="00EC22A3">
        <w:rPr>
          <w:rFonts w:ascii="Calibri" w:hAnsi="Calibri"/>
          <w:sz w:val="19"/>
          <w:lang w:val="de-DE"/>
        </w:rPr>
        <w:t>Haelfen</w:t>
      </w:r>
      <w:proofErr w:type="spellEnd"/>
      <w:r w:rsidRPr="00EC22A3">
        <w:rPr>
          <w:rFonts w:ascii="Calibri" w:hAnsi="Calibri"/>
          <w:sz w:val="19"/>
          <w:lang w:val="de-DE"/>
        </w:rPr>
        <w:t xml:space="preserve">. </w:t>
      </w:r>
      <w:r>
        <w:rPr>
          <w:rFonts w:ascii="Calibri" w:hAnsi="Calibri"/>
          <w:sz w:val="19"/>
        </w:rPr>
        <w:t>Spearman-Brown-</w:t>
      </w:r>
      <w:proofErr w:type="spellStart"/>
      <w:r>
        <w:rPr>
          <w:rFonts w:ascii="Calibri" w:hAnsi="Calibri"/>
          <w:sz w:val="19"/>
        </w:rPr>
        <w:t>Korrektur</w:t>
      </w:r>
      <w:proofErr w:type="spellEnd"/>
      <w:r>
        <w:rPr>
          <w:rFonts w:ascii="Calibri" w:hAnsi="Calibri"/>
          <w:sz w:val="19"/>
        </w:rPr>
        <w:t>.</w:t>
      </w:r>
    </w:p>
    <w:p w14:paraId="6F972D60" w14:textId="77777777" w:rsidR="00D43781" w:rsidRDefault="00000000">
      <w:pPr>
        <w:pStyle w:val="Aufzhlungszeichen"/>
      </w:pPr>
      <w:r w:rsidRPr="00EC22A3">
        <w:rPr>
          <w:rFonts w:ascii="Calibri" w:hAnsi="Calibri"/>
          <w:sz w:val="19"/>
          <w:lang w:val="de-DE"/>
        </w:rPr>
        <w:t xml:space="preserve">Interne Konsistenz (Cronbachs Alpha): Mittlere Korrelation aller Items. </w:t>
      </w:r>
      <w:r>
        <w:rPr>
          <w:rFonts w:ascii="Calibri" w:hAnsi="Calibri"/>
          <w:sz w:val="19"/>
        </w:rPr>
        <w:t xml:space="preserve">Alpha &gt; 0.7 </w:t>
      </w:r>
      <w:proofErr w:type="spellStart"/>
      <w:r>
        <w:rPr>
          <w:rFonts w:ascii="Calibri" w:hAnsi="Calibri"/>
          <w:sz w:val="19"/>
        </w:rPr>
        <w:t>akzeptabel</w:t>
      </w:r>
      <w:proofErr w:type="spellEnd"/>
      <w:r>
        <w:rPr>
          <w:rFonts w:ascii="Calibri" w:hAnsi="Calibri"/>
          <w:sz w:val="19"/>
        </w:rPr>
        <w:t>, &gt; 0.9 exzellent.</w:t>
      </w:r>
    </w:p>
    <w:p w14:paraId="15B4AFB8" w14:textId="77777777" w:rsidR="00D43781" w:rsidRPr="00EC22A3" w:rsidRDefault="00000000">
      <w:pPr>
        <w:pStyle w:val="Aufzhlungszeichen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Interrater-Reliabilität (Cohens Kappa, ICC): Übereinstimmung zwischen Kodierern/Bewertern.</w:t>
      </w:r>
    </w:p>
    <w:p w14:paraId="4FC5D26D" w14:textId="4C74F9E5" w:rsidR="00EC22A3" w:rsidRDefault="00EC22A3">
      <w:pPr>
        <w:rPr>
          <w:lang w:val="de-DE"/>
        </w:rPr>
      </w:pPr>
      <w:r>
        <w:rPr>
          <w:lang w:val="de-DE"/>
        </w:rPr>
        <w:br w:type="page"/>
      </w:r>
    </w:p>
    <w:p w14:paraId="73267C5B" w14:textId="77777777" w:rsidR="00D43781" w:rsidRPr="00EC22A3" w:rsidRDefault="00000000">
      <w:pPr>
        <w:spacing w:before="280" w:after="80"/>
        <w:rPr>
          <w:lang w:val="de-DE"/>
        </w:rPr>
      </w:pPr>
      <w:r w:rsidRPr="00EC22A3">
        <w:rPr>
          <w:rFonts w:ascii="Calibri" w:hAnsi="Calibri"/>
          <w:b/>
          <w:color w:val="14213D"/>
          <w:sz w:val="28"/>
          <w:lang w:val="de-DE"/>
        </w:rPr>
        <w:lastRenderedPageBreak/>
        <w:t>4. Validität</w:t>
      </w:r>
    </w:p>
    <w:p w14:paraId="267DAA51" w14:textId="01F68493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 xml:space="preserve">Validität = </w:t>
      </w:r>
      <w:r w:rsidR="002D56F9" w:rsidRPr="00EC22A3">
        <w:rPr>
          <w:rFonts w:ascii="Calibri" w:hAnsi="Calibri"/>
          <w:sz w:val="19"/>
          <w:lang w:val="de-DE"/>
        </w:rPr>
        <w:t>misst</w:t>
      </w:r>
      <w:r w:rsidRPr="00EC22A3">
        <w:rPr>
          <w:rFonts w:ascii="Calibri" w:hAnsi="Calibri"/>
          <w:sz w:val="19"/>
          <w:lang w:val="de-DE"/>
        </w:rPr>
        <w:t xml:space="preserve"> das Instrument, was es messen soll? (Nur bei ausreichender Reliabilität möglich.)</w:t>
      </w:r>
    </w:p>
    <w:p w14:paraId="3DFBB79F" w14:textId="2B13862B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 xml:space="preserve">Augenscheinvalidität (Face </w:t>
      </w:r>
      <w:proofErr w:type="spellStart"/>
      <w:r w:rsidRPr="00EC22A3">
        <w:rPr>
          <w:rFonts w:ascii="Calibri" w:hAnsi="Calibri"/>
          <w:sz w:val="19"/>
          <w:lang w:val="de-DE"/>
        </w:rPr>
        <w:t>Validity</w:t>
      </w:r>
      <w:proofErr w:type="spellEnd"/>
      <w:r w:rsidRPr="00EC22A3">
        <w:rPr>
          <w:rFonts w:ascii="Calibri" w:hAnsi="Calibri"/>
          <w:sz w:val="19"/>
          <w:lang w:val="de-DE"/>
        </w:rPr>
        <w:t xml:space="preserve">): Sieht das Instrument valide aus? </w:t>
      </w:r>
      <w:r w:rsidR="009D7553" w:rsidRPr="00EC22A3">
        <w:rPr>
          <w:rFonts w:ascii="Calibri" w:hAnsi="Calibri"/>
          <w:sz w:val="19"/>
          <w:lang w:val="de-DE"/>
        </w:rPr>
        <w:t>Schwächstes</w:t>
      </w:r>
      <w:r w:rsidRPr="00EC22A3">
        <w:rPr>
          <w:rFonts w:ascii="Calibri" w:hAnsi="Calibri"/>
          <w:sz w:val="19"/>
          <w:lang w:val="de-DE"/>
        </w:rPr>
        <w:t xml:space="preserve"> </w:t>
      </w:r>
      <w:r w:rsidR="009D7553" w:rsidRPr="00EC22A3">
        <w:rPr>
          <w:rFonts w:ascii="Calibri" w:hAnsi="Calibri"/>
          <w:sz w:val="19"/>
          <w:lang w:val="de-DE"/>
        </w:rPr>
        <w:t>Maß</w:t>
      </w:r>
      <w:r w:rsidRPr="00EC22A3">
        <w:rPr>
          <w:rFonts w:ascii="Calibri" w:hAnsi="Calibri"/>
          <w:sz w:val="19"/>
          <w:lang w:val="de-DE"/>
        </w:rPr>
        <w:t>.</w:t>
      </w:r>
    </w:p>
    <w:p w14:paraId="7CC03290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 xml:space="preserve">Inhaltsvalidität (Content </w:t>
      </w:r>
      <w:proofErr w:type="spellStart"/>
      <w:r w:rsidRPr="00EC22A3">
        <w:rPr>
          <w:rFonts w:ascii="Calibri" w:hAnsi="Calibri"/>
          <w:sz w:val="19"/>
          <w:lang w:val="de-DE"/>
        </w:rPr>
        <w:t>Validity</w:t>
      </w:r>
      <w:proofErr w:type="spellEnd"/>
      <w:r w:rsidRPr="00EC22A3">
        <w:rPr>
          <w:rFonts w:ascii="Calibri" w:hAnsi="Calibri"/>
          <w:sz w:val="19"/>
          <w:lang w:val="de-DE"/>
        </w:rPr>
        <w:t>): Deckt das Instrument alle Aspekte des Konstrukts ab? Expertenurteil.</w:t>
      </w:r>
    </w:p>
    <w:p w14:paraId="7460BC6A" w14:textId="37A8EC3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 xml:space="preserve">Kriteriumsvalidität: Übereinstimmung mit einem externen Kriterium (gleichzeitig: </w:t>
      </w:r>
      <w:proofErr w:type="spellStart"/>
      <w:r w:rsidRPr="00EC22A3">
        <w:rPr>
          <w:rFonts w:ascii="Calibri" w:hAnsi="Calibri"/>
          <w:sz w:val="19"/>
          <w:lang w:val="de-DE"/>
        </w:rPr>
        <w:t>konkurrent</w:t>
      </w:r>
      <w:proofErr w:type="spellEnd"/>
      <w:r w:rsidRPr="00EC22A3">
        <w:rPr>
          <w:rFonts w:ascii="Calibri" w:hAnsi="Calibri"/>
          <w:sz w:val="19"/>
          <w:lang w:val="de-DE"/>
        </w:rPr>
        <w:t xml:space="preserve">; vorhersagend: </w:t>
      </w:r>
      <w:r w:rsidR="009D7553" w:rsidRPr="00EC22A3">
        <w:rPr>
          <w:rFonts w:ascii="Calibri" w:hAnsi="Calibri"/>
          <w:sz w:val="19"/>
          <w:lang w:val="de-DE"/>
        </w:rPr>
        <w:t>prädiktiv</w:t>
      </w:r>
      <w:r w:rsidRPr="00EC22A3">
        <w:rPr>
          <w:rFonts w:ascii="Calibri" w:hAnsi="Calibri"/>
          <w:sz w:val="19"/>
          <w:lang w:val="de-DE"/>
        </w:rPr>
        <w:t>).</w:t>
      </w:r>
    </w:p>
    <w:p w14:paraId="3E292352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 xml:space="preserve">Konstruktvalidität: Misst das Instrument das theoretische Konstrukt? Konvergente Validität (hohe Korrelation mit ähnlichen Messungen) + </w:t>
      </w:r>
      <w:proofErr w:type="spellStart"/>
      <w:r w:rsidRPr="00EC22A3">
        <w:rPr>
          <w:rFonts w:ascii="Calibri" w:hAnsi="Calibri"/>
          <w:sz w:val="19"/>
          <w:lang w:val="de-DE"/>
        </w:rPr>
        <w:t>diskriminante</w:t>
      </w:r>
      <w:proofErr w:type="spellEnd"/>
      <w:r w:rsidRPr="00EC22A3">
        <w:rPr>
          <w:rFonts w:ascii="Calibri" w:hAnsi="Calibri"/>
          <w:sz w:val="19"/>
          <w:lang w:val="de-DE"/>
        </w:rPr>
        <w:t xml:space="preserve"> Validität (niedrige Korrelation mit verschiedenen Messungen).</w:t>
      </w:r>
    </w:p>
    <w:p w14:paraId="4B3CE185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Faktorenanalyse: Bestätigt die angenommene Faktorenstruktur (CFA) oder entdeckt sie (EFA).</w:t>
      </w:r>
    </w:p>
    <w:p w14:paraId="79A49842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MTMM (Multitrait-Multimethod-Matrix: Campbell &amp; Fiske): Systematischer Vergleich von Trait und Methodenvarianz.</w:t>
      </w:r>
    </w:p>
    <w:p w14:paraId="3A72203A" w14:textId="77777777" w:rsidR="00D43781" w:rsidRPr="00EC22A3" w:rsidRDefault="00D43781">
      <w:pPr>
        <w:rPr>
          <w:lang w:val="de-DE"/>
        </w:rPr>
      </w:pPr>
    </w:p>
    <w:p w14:paraId="474B1B79" w14:textId="77777777" w:rsidR="00D43781" w:rsidRPr="00EC22A3" w:rsidRDefault="00000000">
      <w:pPr>
        <w:spacing w:before="280" w:after="80"/>
        <w:rPr>
          <w:lang w:val="de-DE"/>
        </w:rPr>
      </w:pPr>
      <w:r w:rsidRPr="00EC22A3">
        <w:rPr>
          <w:rFonts w:ascii="Calibri" w:hAnsi="Calibri"/>
          <w:b/>
          <w:color w:val="14213D"/>
          <w:sz w:val="28"/>
          <w:lang w:val="de-DE"/>
        </w:rPr>
        <w:t>5. Item- und Skalenkonstruktion</w:t>
      </w:r>
    </w:p>
    <w:p w14:paraId="2769D8F6" w14:textId="6F2A1CE3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 xml:space="preserve">Item-Formulierung: Einfach, kurz, eindeutig. Keine doppelten Verneinungen. Keine doppelten Stimuli ('Ich </w:t>
      </w:r>
      <w:r w:rsidR="009D7553" w:rsidRPr="00EC22A3">
        <w:rPr>
          <w:rFonts w:ascii="Calibri" w:hAnsi="Calibri"/>
          <w:sz w:val="19"/>
          <w:lang w:val="de-DE"/>
        </w:rPr>
        <w:t>fühle</w:t>
      </w:r>
      <w:r w:rsidRPr="00EC22A3">
        <w:rPr>
          <w:rFonts w:ascii="Calibri" w:hAnsi="Calibri"/>
          <w:sz w:val="19"/>
          <w:lang w:val="de-DE"/>
        </w:rPr>
        <w:t xml:space="preserve"> mich wohl und entspannt').</w:t>
      </w:r>
    </w:p>
    <w:p w14:paraId="22B50D57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Antwortformate: Likert (1-5, 1-7), Semantisches Differential (Gegensatzpaare), visuelle Analogskala (VAS).</w:t>
      </w:r>
    </w:p>
    <w:p w14:paraId="16CD9062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Effekte: Soziale Erwünschtheit (</w:t>
      </w:r>
      <w:proofErr w:type="spellStart"/>
      <w:r w:rsidRPr="00EC22A3">
        <w:rPr>
          <w:rFonts w:ascii="Calibri" w:hAnsi="Calibri"/>
          <w:sz w:val="19"/>
          <w:lang w:val="de-DE"/>
        </w:rPr>
        <w:t>Social</w:t>
      </w:r>
      <w:proofErr w:type="spellEnd"/>
      <w:r w:rsidRPr="00EC22A3">
        <w:rPr>
          <w:rFonts w:ascii="Calibri" w:hAnsi="Calibri"/>
          <w:sz w:val="19"/>
          <w:lang w:val="de-DE"/>
        </w:rPr>
        <w:t xml:space="preserve"> </w:t>
      </w:r>
      <w:proofErr w:type="spellStart"/>
      <w:r w:rsidRPr="00EC22A3">
        <w:rPr>
          <w:rFonts w:ascii="Calibri" w:hAnsi="Calibri"/>
          <w:sz w:val="19"/>
          <w:lang w:val="de-DE"/>
        </w:rPr>
        <w:t>Desirability</w:t>
      </w:r>
      <w:proofErr w:type="spellEnd"/>
      <w:r w:rsidRPr="00EC22A3">
        <w:rPr>
          <w:rFonts w:ascii="Calibri" w:hAnsi="Calibri"/>
          <w:sz w:val="19"/>
          <w:lang w:val="de-DE"/>
        </w:rPr>
        <w:t>), Akquieszenz (Zustimmungstendenz), Extreme Response Style (nur Enden nutzen).</w:t>
      </w:r>
    </w:p>
    <w:p w14:paraId="6728C7E8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Reverse-Coding: Negativ gepolte Items umkodieren.</w:t>
      </w:r>
    </w:p>
    <w:p w14:paraId="2289F3FD" w14:textId="77777777" w:rsidR="00D43781" w:rsidRPr="00EC22A3" w:rsidRDefault="00D43781">
      <w:pPr>
        <w:rPr>
          <w:lang w:val="de-DE"/>
        </w:rPr>
      </w:pPr>
    </w:p>
    <w:p w14:paraId="2161E92F" w14:textId="77777777" w:rsidR="00D43781" w:rsidRPr="00EC22A3" w:rsidRDefault="00000000">
      <w:pPr>
        <w:spacing w:before="280" w:after="80"/>
        <w:rPr>
          <w:lang w:val="de-DE"/>
        </w:rPr>
      </w:pPr>
      <w:r w:rsidRPr="00EC22A3">
        <w:rPr>
          <w:rFonts w:ascii="Calibri" w:hAnsi="Calibri"/>
          <w:b/>
          <w:color w:val="14213D"/>
          <w:sz w:val="28"/>
          <w:lang w:val="de-DE"/>
        </w:rPr>
        <w:t>6. Objektivität</w:t>
      </w:r>
    </w:p>
    <w:p w14:paraId="443B735C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Durchführungsobjektivität: Standardisierte Bedingungen unabhängig von der Testleitung.</w:t>
      </w:r>
    </w:p>
    <w:p w14:paraId="37C56E9C" w14:textId="77777777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Auswertungsobjektivität: Eindeutige Auswertungsregeln (Bewertungsskala, Lösungsschablone).</w:t>
      </w:r>
    </w:p>
    <w:p w14:paraId="2C311683" w14:textId="3BC73388" w:rsidR="00D43781" w:rsidRPr="00EC22A3" w:rsidRDefault="00000000">
      <w:pPr>
        <w:spacing w:after="80"/>
        <w:rPr>
          <w:lang w:val="de-DE"/>
        </w:rPr>
      </w:pPr>
      <w:r w:rsidRPr="00EC22A3">
        <w:rPr>
          <w:rFonts w:ascii="Calibri" w:hAnsi="Calibri"/>
          <w:sz w:val="19"/>
          <w:lang w:val="de-DE"/>
        </w:rPr>
        <w:t>Interpretationsobjektivität: Normwerte (Prozen</w:t>
      </w:r>
      <w:r w:rsidR="009D7553">
        <w:rPr>
          <w:rFonts w:ascii="Calibri" w:hAnsi="Calibri"/>
          <w:sz w:val="19"/>
          <w:lang w:val="de-DE"/>
        </w:rPr>
        <w:t>t</w:t>
      </w:r>
      <w:r w:rsidRPr="00EC22A3">
        <w:rPr>
          <w:rFonts w:ascii="Calibri" w:hAnsi="Calibri"/>
          <w:sz w:val="19"/>
          <w:lang w:val="de-DE"/>
        </w:rPr>
        <w:t xml:space="preserve">stränge, </w:t>
      </w:r>
      <w:proofErr w:type="spellStart"/>
      <w:r w:rsidRPr="00EC22A3">
        <w:rPr>
          <w:rFonts w:ascii="Calibri" w:hAnsi="Calibri"/>
          <w:sz w:val="19"/>
          <w:lang w:val="de-DE"/>
        </w:rPr>
        <w:t>Stanine</w:t>
      </w:r>
      <w:proofErr w:type="spellEnd"/>
      <w:r w:rsidRPr="00EC22A3">
        <w:rPr>
          <w:rFonts w:ascii="Calibri" w:hAnsi="Calibri"/>
          <w:sz w:val="19"/>
          <w:lang w:val="de-DE"/>
        </w:rPr>
        <w:t>, T-Werte) für eindeutige Einordnung.</w:t>
      </w:r>
    </w:p>
    <w:p w14:paraId="72397023" w14:textId="77777777" w:rsidR="00D43781" w:rsidRPr="00EC22A3" w:rsidRDefault="00D43781">
      <w:pPr>
        <w:rPr>
          <w:lang w:val="de-DE"/>
        </w:rPr>
      </w:pPr>
    </w:p>
    <w:p w14:paraId="208FD2AC" w14:textId="77777777" w:rsidR="00D43781" w:rsidRDefault="00D43781">
      <w:pPr>
        <w:rPr>
          <w:lang w:val="de-DE"/>
        </w:rPr>
      </w:pPr>
    </w:p>
    <w:p w14:paraId="57E59A76" w14:textId="77777777" w:rsidR="00EC22A3" w:rsidRDefault="00EC22A3">
      <w:pPr>
        <w:rPr>
          <w:lang w:val="de-DE"/>
        </w:rPr>
      </w:pPr>
    </w:p>
    <w:p w14:paraId="6C07E529" w14:textId="77777777" w:rsidR="00EC22A3" w:rsidRDefault="00EC22A3">
      <w:pPr>
        <w:rPr>
          <w:lang w:val="de-DE"/>
        </w:rPr>
      </w:pPr>
    </w:p>
    <w:p w14:paraId="48EC58A8" w14:textId="77777777" w:rsidR="00EC22A3" w:rsidRDefault="00EC22A3">
      <w:pPr>
        <w:rPr>
          <w:lang w:val="de-DE"/>
        </w:rPr>
      </w:pPr>
    </w:p>
    <w:p w14:paraId="05570C93" w14:textId="77777777" w:rsidR="00EC22A3" w:rsidRDefault="00EC22A3">
      <w:pPr>
        <w:rPr>
          <w:lang w:val="de-DE"/>
        </w:rPr>
      </w:pPr>
    </w:p>
    <w:p w14:paraId="056C00A2" w14:textId="77777777" w:rsidR="00EC22A3" w:rsidRDefault="00EC22A3">
      <w:pPr>
        <w:rPr>
          <w:lang w:val="de-DE"/>
        </w:rPr>
      </w:pPr>
    </w:p>
    <w:p w14:paraId="72143E53" w14:textId="77777777" w:rsidR="00EC22A3" w:rsidRDefault="00EC22A3">
      <w:pPr>
        <w:rPr>
          <w:lang w:val="de-DE"/>
        </w:rPr>
      </w:pPr>
    </w:p>
    <w:p w14:paraId="7C55B8D3" w14:textId="77777777" w:rsidR="00EC22A3" w:rsidRDefault="00EC22A3">
      <w:pPr>
        <w:rPr>
          <w:lang w:val="de-DE"/>
        </w:rPr>
      </w:pPr>
    </w:p>
    <w:p w14:paraId="48D2BBFF" w14:textId="77777777" w:rsidR="00EC22A3" w:rsidRPr="00EC22A3" w:rsidRDefault="00EC22A3">
      <w:pPr>
        <w:rPr>
          <w:lang w:val="de-DE"/>
        </w:rPr>
      </w:pPr>
    </w:p>
    <w:p w14:paraId="4891CFF3" w14:textId="77777777" w:rsidR="00D43781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D43781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BF15" w14:textId="77777777" w:rsidR="00824E0E" w:rsidRDefault="00824E0E">
      <w:pPr>
        <w:spacing w:after="0" w:line="240" w:lineRule="auto"/>
      </w:pPr>
      <w:r>
        <w:separator/>
      </w:r>
    </w:p>
  </w:endnote>
  <w:endnote w:type="continuationSeparator" w:id="0">
    <w:p w14:paraId="521C3A9B" w14:textId="77777777" w:rsidR="00824E0E" w:rsidRDefault="00824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9519C" w14:textId="110A0F9A" w:rsidR="00D43781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EC22A3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976CB" w14:textId="77777777" w:rsidR="00824E0E" w:rsidRDefault="00824E0E">
      <w:pPr>
        <w:spacing w:after="0" w:line="240" w:lineRule="auto"/>
      </w:pPr>
      <w:r>
        <w:separator/>
      </w:r>
    </w:p>
  </w:footnote>
  <w:footnote w:type="continuationSeparator" w:id="0">
    <w:p w14:paraId="7978EC58" w14:textId="77777777" w:rsidR="00824E0E" w:rsidRDefault="00824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D8443" w14:textId="77777777" w:rsidR="00D43781" w:rsidRDefault="00D43781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D43781" w14:paraId="301A612E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5537BF4D" w14:textId="77777777" w:rsidR="00D43781" w:rsidRDefault="00000000">
          <w:r>
            <w:rPr>
              <w:noProof/>
            </w:rPr>
            <w:drawing>
              <wp:inline distT="0" distB="0" distL="0" distR="0" wp14:anchorId="3E2D1763" wp14:editId="62E6FC0B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56B2D951" w14:textId="77777777" w:rsidR="00D43781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2647EB4B" w14:textId="77777777" w:rsidR="00D43781" w:rsidRDefault="00000000">
          <w:pPr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Messtheorie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und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Operationalisierung</w:t>
          </w:r>
          <w:proofErr w:type="spellEnd"/>
        </w:p>
      </w:tc>
    </w:tr>
  </w:tbl>
  <w:p w14:paraId="7F0EFFBE" w14:textId="77777777" w:rsidR="00D43781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395411">
    <w:abstractNumId w:val="8"/>
  </w:num>
  <w:num w:numId="2" w16cid:durableId="1590458384">
    <w:abstractNumId w:val="6"/>
  </w:num>
  <w:num w:numId="3" w16cid:durableId="19666168">
    <w:abstractNumId w:val="5"/>
  </w:num>
  <w:num w:numId="4" w16cid:durableId="1685010908">
    <w:abstractNumId w:val="4"/>
  </w:num>
  <w:num w:numId="5" w16cid:durableId="869075379">
    <w:abstractNumId w:val="7"/>
  </w:num>
  <w:num w:numId="6" w16cid:durableId="1450591666">
    <w:abstractNumId w:val="3"/>
  </w:num>
  <w:num w:numId="7" w16cid:durableId="1726367414">
    <w:abstractNumId w:val="2"/>
  </w:num>
  <w:num w:numId="8" w16cid:durableId="2122534126">
    <w:abstractNumId w:val="1"/>
  </w:num>
  <w:num w:numId="9" w16cid:durableId="1986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6F9"/>
    <w:rsid w:val="00326F90"/>
    <w:rsid w:val="00824E0E"/>
    <w:rsid w:val="009D7553"/>
    <w:rsid w:val="00AA1D8D"/>
    <w:rsid w:val="00B24222"/>
    <w:rsid w:val="00B47730"/>
    <w:rsid w:val="00CB0664"/>
    <w:rsid w:val="00D43781"/>
    <w:rsid w:val="00EC2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44BDB39-BF6F-4407-B82B-E17164AC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cp:lastPrinted>2026-05-20T16:35:00Z</cp:lastPrinted>
  <dcterms:created xsi:type="dcterms:W3CDTF">2013-12-23T23:15:00Z</dcterms:created>
  <dcterms:modified xsi:type="dcterms:W3CDTF">2026-05-20T16:37:00Z</dcterms:modified>
  <cp:category/>
</cp:coreProperties>
</file>