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B5A1" w14:textId="77777777" w:rsidR="006E3844" w:rsidRPr="00140DA2" w:rsidRDefault="00000000">
      <w:pPr>
        <w:jc w:val="center"/>
        <w:rPr>
          <w:lang w:val="de-DE"/>
        </w:rPr>
      </w:pPr>
      <w:r w:rsidRPr="00140DA2">
        <w:rPr>
          <w:rFonts w:ascii="Calibri" w:hAnsi="Calibri"/>
          <w:b/>
          <w:color w:val="14213D"/>
          <w:sz w:val="36"/>
          <w:lang w:val="de-DE"/>
        </w:rPr>
        <w:t>Qualitative Forschungsmethoden: Überblick</w:t>
      </w:r>
    </w:p>
    <w:p w14:paraId="0F61B14A" w14:textId="77777777" w:rsidR="006E3844" w:rsidRPr="00140DA2" w:rsidRDefault="00000000">
      <w:pPr>
        <w:jc w:val="center"/>
        <w:rPr>
          <w:lang w:val="de-DE"/>
        </w:rPr>
      </w:pPr>
      <w:r w:rsidRPr="00140DA2">
        <w:rPr>
          <w:rFonts w:ascii="Calibri" w:hAnsi="Calibri"/>
          <w:i/>
          <w:color w:val="4F6D8A"/>
          <w:sz w:val="20"/>
          <w:lang w:val="de-DE"/>
        </w:rPr>
        <w:t>Qualitative Forschungsmethoden</w:t>
      </w:r>
    </w:p>
    <w:p w14:paraId="31DB2885" w14:textId="77777777" w:rsidR="006E3844" w:rsidRPr="00140DA2" w:rsidRDefault="006E3844">
      <w:pPr>
        <w:rPr>
          <w:lang w:val="de-DE"/>
        </w:rPr>
      </w:pPr>
    </w:p>
    <w:p w14:paraId="3FAE387A" w14:textId="77777777" w:rsidR="006E3844" w:rsidRPr="00140DA2" w:rsidRDefault="00000000">
      <w:pPr>
        <w:spacing w:before="280" w:after="80"/>
        <w:rPr>
          <w:lang w:val="de-DE"/>
        </w:rPr>
      </w:pPr>
      <w:r w:rsidRPr="00140DA2">
        <w:rPr>
          <w:rFonts w:ascii="Calibri" w:hAnsi="Calibri"/>
          <w:b/>
          <w:color w:val="14213D"/>
          <w:sz w:val="28"/>
          <w:lang w:val="de-DE"/>
        </w:rPr>
        <w:t>1. Qualitative vs. quantitative Paradigmen</w:t>
      </w:r>
    </w:p>
    <w:p w14:paraId="19B98913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Nicht alles, was wichtig ist, lässt sich in Zahlen ausdrücken. Wie fühlt sich Armut</w:t>
      </w:r>
    </w:p>
    <w:p w14:paraId="7DCC4ED4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an? Wie erleben Lehrer den Schulalltag? Solche Fragen beantworten keine SPSS-Tabellen.</w:t>
      </w:r>
    </w:p>
    <w:p w14:paraId="21F90C4F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Hier kommen qualitative Methoden ins Spiel: Sie zielen nicht aufs Zählen, sondern aufs</w:t>
      </w:r>
    </w:p>
    <w:p w14:paraId="6A59FEC0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Verstehen – auf die Rekonstruktion von Sinn und Handlungsorientierungen.</w:t>
      </w:r>
    </w:p>
    <w:p w14:paraId="198EF39A" w14:textId="77777777" w:rsidR="006E3844" w:rsidRPr="00140DA2" w:rsidRDefault="006E3844">
      <w:pPr>
        <w:rPr>
          <w:lang w:val="de-DE"/>
        </w:rPr>
      </w:pPr>
    </w:p>
    <w:p w14:paraId="1C242B59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Quantitativ: Zählen, Messen, statistische Analyse. Deduktiv: Theorie Hypothese Test.</w:t>
      </w:r>
    </w:p>
    <w:p w14:paraId="329FA4FD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Qualitativ: Sinnverstehen, Rekonstruktion. Induktiv: Einzelfall Muster Theorie.</w:t>
      </w:r>
    </w:p>
    <w:p w14:paraId="31894578" w14:textId="77777777" w:rsidR="006E3844" w:rsidRPr="00140DA2" w:rsidRDefault="00000000">
      <w:pPr>
        <w:spacing w:after="80"/>
        <w:rPr>
          <w:rFonts w:ascii="Calibri" w:hAnsi="Calibri"/>
          <w:sz w:val="19"/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Nicht </w:t>
      </w:r>
      <w:proofErr w:type="spellStart"/>
      <w:r w:rsidRPr="00140DA2">
        <w:rPr>
          <w:rFonts w:ascii="Calibri" w:hAnsi="Calibri"/>
          <w:sz w:val="19"/>
          <w:lang w:val="de-DE"/>
        </w:rPr>
        <w:t>entweder-oder</w:t>
      </w:r>
      <w:proofErr w:type="spellEnd"/>
      <w:r w:rsidRPr="00140DA2">
        <w:rPr>
          <w:rFonts w:ascii="Calibri" w:hAnsi="Calibri"/>
          <w:sz w:val="19"/>
          <w:lang w:val="de-DE"/>
        </w:rPr>
        <w:t>, sondern abhängig von der Forschungsfrage.</w:t>
      </w:r>
    </w:p>
    <w:p w14:paraId="5170F547" w14:textId="77777777" w:rsidR="00D8196D" w:rsidRPr="00140DA2" w:rsidRDefault="00D8196D">
      <w:pPr>
        <w:spacing w:after="80"/>
        <w:rPr>
          <w:lang w:val="de-DE"/>
        </w:rPr>
      </w:pPr>
    </w:p>
    <w:p w14:paraId="7A3AD1F9" w14:textId="77777777" w:rsidR="006E3844" w:rsidRPr="00140DA2" w:rsidRDefault="00000000">
      <w:pPr>
        <w:spacing w:before="280" w:after="80"/>
        <w:rPr>
          <w:lang w:val="de-DE"/>
        </w:rPr>
      </w:pPr>
      <w:r w:rsidRPr="00140DA2">
        <w:rPr>
          <w:rFonts w:ascii="Calibri" w:hAnsi="Calibri"/>
          <w:b/>
          <w:color w:val="14213D"/>
          <w:sz w:val="28"/>
          <w:lang w:val="de-DE"/>
        </w:rPr>
        <w:t>2. Zentrale Prinzipien qualitativer Forschung</w:t>
      </w:r>
    </w:p>
    <w:p w14:paraId="3D96454D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Offenheit: Keine starren Hypothesen vor der Datenerhebung. Das Forschungsfeld bestimmt die relevanten Kategorien.</w:t>
      </w:r>
    </w:p>
    <w:p w14:paraId="48ED80F3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Kommunikation: Forschende sind Teil des Feldes. Daten entstehen in Interaktion.</w:t>
      </w:r>
    </w:p>
    <w:p w14:paraId="5A78CC48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Prozesscharakter: Forschung ist </w:t>
      </w:r>
      <w:proofErr w:type="spellStart"/>
      <w:r w:rsidRPr="00140DA2">
        <w:rPr>
          <w:rFonts w:ascii="Calibri" w:hAnsi="Calibri"/>
          <w:sz w:val="19"/>
          <w:lang w:val="de-DE"/>
        </w:rPr>
        <w:t>zirkulaer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(nicht linear). Datenerhebung und -auswertung wechseln sich ab.</w:t>
      </w:r>
    </w:p>
    <w:p w14:paraId="6741D679" w14:textId="77777777" w:rsidR="006E3844" w:rsidRPr="00140DA2" w:rsidRDefault="00000000">
      <w:pPr>
        <w:spacing w:after="80"/>
        <w:rPr>
          <w:lang w:val="de-DE"/>
        </w:rPr>
      </w:pPr>
      <w:proofErr w:type="spellStart"/>
      <w:r w:rsidRPr="00140DA2">
        <w:rPr>
          <w:rFonts w:ascii="Calibri" w:hAnsi="Calibri"/>
          <w:sz w:val="19"/>
          <w:lang w:val="de-DE"/>
        </w:rPr>
        <w:t>Reflexivitaet</w:t>
      </w:r>
      <w:proofErr w:type="spellEnd"/>
      <w:r w:rsidRPr="00140DA2">
        <w:rPr>
          <w:rFonts w:ascii="Calibri" w:hAnsi="Calibri"/>
          <w:sz w:val="19"/>
          <w:lang w:val="de-DE"/>
        </w:rPr>
        <w:t xml:space="preserve">: Die Rolle der forschenden Person wird reflektiert. </w:t>
      </w:r>
      <w:proofErr w:type="spellStart"/>
      <w:r w:rsidRPr="00140DA2">
        <w:rPr>
          <w:rFonts w:ascii="Calibri" w:hAnsi="Calibri"/>
          <w:sz w:val="19"/>
          <w:lang w:val="de-DE"/>
        </w:rPr>
        <w:t>Subjektivitaet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ist nicht Störfaktor, sondern Erkenntnismittel.</w:t>
      </w:r>
    </w:p>
    <w:p w14:paraId="63CDC482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Naturalismus: Forschung möglichst in der </w:t>
      </w:r>
      <w:proofErr w:type="spellStart"/>
      <w:r w:rsidRPr="00140DA2">
        <w:rPr>
          <w:rFonts w:ascii="Calibri" w:hAnsi="Calibri"/>
          <w:sz w:val="19"/>
          <w:lang w:val="de-DE"/>
        </w:rPr>
        <w:t>natuerlichen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Umgebung der Befragten.</w:t>
      </w:r>
    </w:p>
    <w:p w14:paraId="67F8A649" w14:textId="77777777" w:rsidR="006E3844" w:rsidRPr="00140DA2" w:rsidRDefault="006E3844">
      <w:pPr>
        <w:rPr>
          <w:lang w:val="de-DE"/>
        </w:rPr>
      </w:pPr>
    </w:p>
    <w:p w14:paraId="49103069" w14:textId="77777777" w:rsidR="006E3844" w:rsidRPr="00140DA2" w:rsidRDefault="00000000">
      <w:pPr>
        <w:spacing w:before="280" w:after="80"/>
        <w:rPr>
          <w:lang w:val="de-DE"/>
        </w:rPr>
      </w:pPr>
      <w:r w:rsidRPr="00140DA2">
        <w:rPr>
          <w:rFonts w:ascii="Calibri" w:hAnsi="Calibri"/>
          <w:b/>
          <w:color w:val="14213D"/>
          <w:sz w:val="28"/>
          <w:lang w:val="de-DE"/>
        </w:rPr>
        <w:t>3. Zentrale Methoden im Überblick</w:t>
      </w:r>
    </w:p>
    <w:p w14:paraId="0D1E0995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Einzelfallanalyse: Tiefenanalyse eines Falles (</w:t>
      </w:r>
      <w:proofErr w:type="gramStart"/>
      <w:r w:rsidRPr="00140DA2">
        <w:rPr>
          <w:rFonts w:ascii="Calibri" w:hAnsi="Calibri"/>
          <w:sz w:val="19"/>
          <w:lang w:val="de-DE"/>
        </w:rPr>
        <w:t>Biographie</w:t>
      </w:r>
      <w:proofErr w:type="gramEnd"/>
      <w:r w:rsidRPr="00140DA2">
        <w:rPr>
          <w:rFonts w:ascii="Calibri" w:hAnsi="Calibri"/>
          <w:sz w:val="19"/>
          <w:lang w:val="de-DE"/>
        </w:rPr>
        <w:t>, Organisation, Text).</w:t>
      </w:r>
    </w:p>
    <w:p w14:paraId="54626003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Qualitatives Interview: Leitfaden-, narratives, problemzentriertes, Experteninterview.</w:t>
      </w:r>
    </w:p>
    <w:p w14:paraId="5D0A267C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Gruppendiskussion / Fokusgruppe: Soziale Aushandlungsprozesse beobachten.</w:t>
      </w:r>
    </w:p>
    <w:p w14:paraId="69734341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Teilnehmende Beobachtung / Ethnographie: </w:t>
      </w:r>
      <w:proofErr w:type="spellStart"/>
      <w:r w:rsidRPr="00140DA2">
        <w:rPr>
          <w:rFonts w:ascii="Calibri" w:hAnsi="Calibri"/>
          <w:sz w:val="19"/>
          <w:lang w:val="de-DE"/>
        </w:rPr>
        <w:t>Laengerer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Feldaufenthalt, teilnehmend beobachten.</w:t>
      </w:r>
    </w:p>
    <w:p w14:paraId="05E7F726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Inhaltsanalyse: Systematische Kategorisierung von Textmaterial.</w:t>
      </w:r>
    </w:p>
    <w:p w14:paraId="2F011AD0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proofErr w:type="spellStart"/>
      <w:r w:rsidRPr="00140DA2">
        <w:rPr>
          <w:rFonts w:ascii="Calibri" w:hAnsi="Calibri"/>
          <w:sz w:val="19"/>
          <w:lang w:val="de-DE"/>
        </w:rPr>
        <w:t>Grounded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Theory: Theoriebildung aus dem Material (Kodieren, </w:t>
      </w:r>
      <w:proofErr w:type="spellStart"/>
      <w:r w:rsidRPr="00140DA2">
        <w:rPr>
          <w:rFonts w:ascii="Calibri" w:hAnsi="Calibri"/>
          <w:sz w:val="19"/>
          <w:lang w:val="de-DE"/>
        </w:rPr>
        <w:t>constant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</w:t>
      </w:r>
      <w:proofErr w:type="spellStart"/>
      <w:r w:rsidRPr="00140DA2">
        <w:rPr>
          <w:rFonts w:ascii="Calibri" w:hAnsi="Calibri"/>
          <w:sz w:val="19"/>
          <w:lang w:val="de-DE"/>
        </w:rPr>
        <w:t>comparison</w:t>
      </w:r>
      <w:proofErr w:type="spellEnd"/>
      <w:r w:rsidRPr="00140DA2">
        <w:rPr>
          <w:rFonts w:ascii="Calibri" w:hAnsi="Calibri"/>
          <w:sz w:val="19"/>
          <w:lang w:val="de-DE"/>
        </w:rPr>
        <w:t>).</w:t>
      </w:r>
    </w:p>
    <w:p w14:paraId="586E6545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Diskursanalyse: Analyse sprachlicher Praktiken und Machtstrukturen.</w:t>
      </w:r>
    </w:p>
    <w:p w14:paraId="1E2FDB64" w14:textId="77777777" w:rsidR="006E3844" w:rsidRPr="00140DA2" w:rsidRDefault="00000000" w:rsidP="00D8196D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proofErr w:type="spellStart"/>
      <w:r w:rsidRPr="00140DA2">
        <w:rPr>
          <w:rFonts w:ascii="Calibri" w:hAnsi="Calibri"/>
          <w:sz w:val="19"/>
          <w:lang w:val="de-DE"/>
        </w:rPr>
        <w:t>Narrationsanalyse</w:t>
      </w:r>
      <w:proofErr w:type="spellEnd"/>
      <w:r w:rsidRPr="00140DA2">
        <w:rPr>
          <w:rFonts w:ascii="Calibri" w:hAnsi="Calibri"/>
          <w:sz w:val="19"/>
          <w:lang w:val="de-DE"/>
        </w:rPr>
        <w:t>: Struktur von Erzählungen (Anfang-Mitte-Ende, Plot, Wende).</w:t>
      </w:r>
    </w:p>
    <w:p w14:paraId="2D003E35" w14:textId="757E970E" w:rsidR="00D8196D" w:rsidRPr="00140DA2" w:rsidRDefault="00D8196D">
      <w:pPr>
        <w:rPr>
          <w:lang w:val="de-DE"/>
        </w:rPr>
      </w:pPr>
      <w:r w:rsidRPr="00140DA2">
        <w:rPr>
          <w:lang w:val="de-DE"/>
        </w:rPr>
        <w:br w:type="page"/>
      </w:r>
    </w:p>
    <w:p w14:paraId="7D5F378A" w14:textId="77777777" w:rsidR="006E3844" w:rsidRPr="00140DA2" w:rsidRDefault="00000000">
      <w:pPr>
        <w:spacing w:before="280" w:after="80"/>
        <w:rPr>
          <w:lang w:val="de-DE"/>
        </w:rPr>
      </w:pPr>
      <w:r w:rsidRPr="00140DA2">
        <w:rPr>
          <w:rFonts w:ascii="Calibri" w:hAnsi="Calibri"/>
          <w:b/>
          <w:color w:val="14213D"/>
          <w:sz w:val="28"/>
          <w:lang w:val="de-DE"/>
        </w:rPr>
        <w:lastRenderedPageBreak/>
        <w:t>4. Gütekriterien qualitativer Forschung</w:t>
      </w:r>
    </w:p>
    <w:p w14:paraId="48E2A37E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Die klassischen Gütekriterien (Reliabilität, Validität, Objektivität) passen nicht eins zu eins.</w:t>
      </w:r>
    </w:p>
    <w:p w14:paraId="39A6E414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Verfahrensdokumentation: Jeder Schritt wird transparent dokumentiert.</w:t>
      </w:r>
    </w:p>
    <w:p w14:paraId="6ECB5C7A" w14:textId="0C98A97E" w:rsidR="00D8196D" w:rsidRPr="00140DA2" w:rsidRDefault="00000000">
      <w:pPr>
        <w:spacing w:after="80"/>
        <w:rPr>
          <w:rFonts w:ascii="Calibri" w:hAnsi="Calibri"/>
          <w:sz w:val="19"/>
          <w:lang w:val="de-DE"/>
        </w:rPr>
      </w:pPr>
      <w:r w:rsidRPr="00140DA2">
        <w:rPr>
          <w:rFonts w:ascii="Calibri" w:hAnsi="Calibri"/>
          <w:sz w:val="19"/>
          <w:lang w:val="de-DE"/>
        </w:rPr>
        <w:t>Argumentative Interpretationsabsicherung: Interpretationen werden am Material belegt und Alternativinterpretationen diskutiert.</w:t>
      </w:r>
    </w:p>
    <w:p w14:paraId="5DCDB45A" w14:textId="5F5AC3B3" w:rsidR="006E3844" w:rsidRPr="00140DA2" w:rsidRDefault="00D8196D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Nähe</w:t>
      </w:r>
      <w:r w:rsidR="00000000" w:rsidRPr="00140DA2">
        <w:rPr>
          <w:rFonts w:ascii="Calibri" w:hAnsi="Calibri"/>
          <w:sz w:val="19"/>
          <w:lang w:val="de-DE"/>
        </w:rPr>
        <w:t xml:space="preserve"> zum Feld: Forschung in der Lebenswelt der Befragten.</w:t>
      </w:r>
    </w:p>
    <w:p w14:paraId="378CD955" w14:textId="7FA1689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Kommunikative Validierung: Ergebnisse werden den Befragten vorgelegt und </w:t>
      </w:r>
      <w:r w:rsidR="00D8196D" w:rsidRPr="00140DA2">
        <w:rPr>
          <w:rFonts w:ascii="Calibri" w:hAnsi="Calibri"/>
          <w:sz w:val="19"/>
          <w:lang w:val="de-DE"/>
        </w:rPr>
        <w:t>rückgekoppelt</w:t>
      </w:r>
      <w:r w:rsidRPr="00140DA2">
        <w:rPr>
          <w:rFonts w:ascii="Calibri" w:hAnsi="Calibri"/>
          <w:sz w:val="19"/>
          <w:lang w:val="de-DE"/>
        </w:rPr>
        <w:t>.</w:t>
      </w:r>
    </w:p>
    <w:p w14:paraId="317A564A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Triangulation: Mehrere Methoden, Datenquellen, Forschende oder Theorien.</w:t>
      </w:r>
    </w:p>
    <w:p w14:paraId="3D4D2881" w14:textId="5C58B71B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Lincoln &amp; Guba (1985): </w:t>
      </w:r>
      <w:r w:rsidR="00D8196D" w:rsidRPr="00140DA2">
        <w:rPr>
          <w:rFonts w:ascii="Calibri" w:hAnsi="Calibri"/>
          <w:sz w:val="19"/>
          <w:lang w:val="de-DE"/>
        </w:rPr>
        <w:t>Glaubwürdigkeit</w:t>
      </w:r>
      <w:r w:rsidRPr="00140DA2">
        <w:rPr>
          <w:rFonts w:ascii="Calibri" w:hAnsi="Calibri"/>
          <w:sz w:val="19"/>
          <w:lang w:val="de-DE"/>
        </w:rPr>
        <w:t xml:space="preserve"> (Credibility), Übertragbarkeit (</w:t>
      </w:r>
      <w:proofErr w:type="spellStart"/>
      <w:r w:rsidRPr="00140DA2">
        <w:rPr>
          <w:rFonts w:ascii="Calibri" w:hAnsi="Calibri"/>
          <w:sz w:val="19"/>
          <w:lang w:val="de-DE"/>
        </w:rPr>
        <w:t>Transferability</w:t>
      </w:r>
      <w:proofErr w:type="spellEnd"/>
      <w:r w:rsidRPr="00140DA2">
        <w:rPr>
          <w:rFonts w:ascii="Calibri" w:hAnsi="Calibri"/>
          <w:sz w:val="19"/>
          <w:lang w:val="de-DE"/>
        </w:rPr>
        <w:t xml:space="preserve">), </w:t>
      </w:r>
      <w:proofErr w:type="spellStart"/>
      <w:r w:rsidRPr="00140DA2">
        <w:rPr>
          <w:rFonts w:ascii="Calibri" w:hAnsi="Calibri"/>
          <w:sz w:val="19"/>
          <w:lang w:val="de-DE"/>
        </w:rPr>
        <w:t>Verlaesslichkeit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(</w:t>
      </w:r>
      <w:proofErr w:type="spellStart"/>
      <w:r w:rsidRPr="00140DA2">
        <w:rPr>
          <w:rFonts w:ascii="Calibri" w:hAnsi="Calibri"/>
          <w:sz w:val="19"/>
          <w:lang w:val="de-DE"/>
        </w:rPr>
        <w:t>Dependability</w:t>
      </w:r>
      <w:proofErr w:type="spellEnd"/>
      <w:r w:rsidRPr="00140DA2">
        <w:rPr>
          <w:rFonts w:ascii="Calibri" w:hAnsi="Calibri"/>
          <w:sz w:val="19"/>
          <w:lang w:val="de-DE"/>
        </w:rPr>
        <w:t>), Best</w:t>
      </w:r>
      <w:r w:rsidR="00D8196D" w:rsidRPr="00140DA2">
        <w:rPr>
          <w:rFonts w:ascii="Calibri" w:hAnsi="Calibri"/>
          <w:sz w:val="19"/>
          <w:lang w:val="de-DE"/>
        </w:rPr>
        <w:t>ä</w:t>
      </w:r>
      <w:r w:rsidRPr="00140DA2">
        <w:rPr>
          <w:rFonts w:ascii="Calibri" w:hAnsi="Calibri"/>
          <w:sz w:val="19"/>
          <w:lang w:val="de-DE"/>
        </w:rPr>
        <w:t>tigbarkeit (</w:t>
      </w:r>
      <w:proofErr w:type="spellStart"/>
      <w:r w:rsidRPr="00140DA2">
        <w:rPr>
          <w:rFonts w:ascii="Calibri" w:hAnsi="Calibri"/>
          <w:sz w:val="19"/>
          <w:lang w:val="de-DE"/>
        </w:rPr>
        <w:t>Confirmability</w:t>
      </w:r>
      <w:proofErr w:type="spellEnd"/>
      <w:r w:rsidRPr="00140DA2">
        <w:rPr>
          <w:rFonts w:ascii="Calibri" w:hAnsi="Calibri"/>
          <w:sz w:val="19"/>
          <w:lang w:val="de-DE"/>
        </w:rPr>
        <w:t>).</w:t>
      </w:r>
    </w:p>
    <w:p w14:paraId="5417AB9D" w14:textId="77777777" w:rsidR="006E3844" w:rsidRPr="00140DA2" w:rsidRDefault="006E3844">
      <w:pPr>
        <w:rPr>
          <w:lang w:val="de-DE"/>
        </w:rPr>
      </w:pPr>
    </w:p>
    <w:p w14:paraId="2B1F7C34" w14:textId="77777777" w:rsidR="006E3844" w:rsidRPr="00140DA2" w:rsidRDefault="00000000">
      <w:pPr>
        <w:spacing w:before="280" w:after="80"/>
        <w:rPr>
          <w:lang w:val="de-DE"/>
        </w:rPr>
      </w:pPr>
      <w:r w:rsidRPr="00140DA2">
        <w:rPr>
          <w:rFonts w:ascii="Calibri" w:hAnsi="Calibri"/>
          <w:b/>
          <w:color w:val="14213D"/>
          <w:sz w:val="28"/>
          <w:lang w:val="de-DE"/>
        </w:rPr>
        <w:t>5. Typischer Ablauf einer qualitativen Studie</w:t>
      </w:r>
    </w:p>
    <w:p w14:paraId="71ECAC62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(1) Forschungsfrage entwickeln (offen, explorativ).</w:t>
      </w:r>
    </w:p>
    <w:p w14:paraId="1F9E0F1C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(2) Sampling: gezielte Auswahl von Fällen (</w:t>
      </w:r>
      <w:proofErr w:type="spellStart"/>
      <w:r w:rsidRPr="00140DA2">
        <w:rPr>
          <w:rFonts w:ascii="Calibri" w:hAnsi="Calibri"/>
          <w:sz w:val="19"/>
          <w:lang w:val="de-DE"/>
        </w:rPr>
        <w:t>Purposive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Sampling, </w:t>
      </w:r>
      <w:proofErr w:type="spellStart"/>
      <w:r w:rsidRPr="00140DA2">
        <w:rPr>
          <w:rFonts w:ascii="Calibri" w:hAnsi="Calibri"/>
          <w:sz w:val="19"/>
          <w:lang w:val="de-DE"/>
        </w:rPr>
        <w:t>Theoretical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Sampling).</w:t>
      </w:r>
    </w:p>
    <w:p w14:paraId="0DB6610B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(3) Datenerhebung: Interview, Beobachtung, Dokumente.</w:t>
      </w:r>
    </w:p>
    <w:p w14:paraId="28B59B7E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(4) Aufbereitung: Transkription (Dresing/Pehl-Regeln), Feldnotizen, Protokolle.</w:t>
      </w:r>
    </w:p>
    <w:p w14:paraId="5A1B08F6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(5) Auswertung: Kodieren, Kategorisieren, Typenbildung, Theorieentwicklung.</w:t>
      </w:r>
    </w:p>
    <w:p w14:paraId="5A33BD8D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(6) Interpretation und Darstellung: Ergebnisse in einer dichten Beschreibung (Geertz) oder in Modellen.</w:t>
      </w:r>
    </w:p>
    <w:p w14:paraId="0DFBB18D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(7) Güteprüfung: Reflexion, Triangulation, kommunikative Validierung.</w:t>
      </w:r>
    </w:p>
    <w:p w14:paraId="0BD73436" w14:textId="2BF14282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 xml:space="preserve">Wichtig: Der Prozess ist </w:t>
      </w:r>
      <w:r w:rsidR="00D8196D" w:rsidRPr="00140DA2">
        <w:rPr>
          <w:rFonts w:ascii="Calibri" w:hAnsi="Calibri"/>
          <w:sz w:val="19"/>
          <w:lang w:val="de-DE"/>
        </w:rPr>
        <w:t>zirkulär</w:t>
      </w:r>
      <w:r w:rsidRPr="00140DA2">
        <w:rPr>
          <w:rFonts w:ascii="Calibri" w:hAnsi="Calibri"/>
          <w:sz w:val="19"/>
          <w:lang w:val="de-DE"/>
        </w:rPr>
        <w:t xml:space="preserve"> -&gt; neue Erkenntnisse führen </w:t>
      </w:r>
      <w:r w:rsidR="00D8196D" w:rsidRPr="00140DA2">
        <w:rPr>
          <w:rFonts w:ascii="Calibri" w:hAnsi="Calibri"/>
          <w:sz w:val="19"/>
          <w:lang w:val="de-DE"/>
        </w:rPr>
        <w:t>zurück</w:t>
      </w:r>
      <w:r w:rsidRPr="00140DA2">
        <w:rPr>
          <w:rFonts w:ascii="Calibri" w:hAnsi="Calibri"/>
          <w:sz w:val="19"/>
          <w:lang w:val="de-DE"/>
        </w:rPr>
        <w:t xml:space="preserve"> zu Sampling und Datenerhebung (</w:t>
      </w:r>
      <w:proofErr w:type="spellStart"/>
      <w:r w:rsidRPr="00140DA2">
        <w:rPr>
          <w:rFonts w:ascii="Calibri" w:hAnsi="Calibri"/>
          <w:sz w:val="19"/>
          <w:lang w:val="de-DE"/>
        </w:rPr>
        <w:t>Theoretical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Sampling).</w:t>
      </w:r>
    </w:p>
    <w:p w14:paraId="59FAA1C1" w14:textId="77777777" w:rsidR="006E3844" w:rsidRPr="00140DA2" w:rsidRDefault="006E3844">
      <w:pPr>
        <w:rPr>
          <w:lang w:val="de-DE"/>
        </w:rPr>
      </w:pPr>
    </w:p>
    <w:p w14:paraId="7F1C5468" w14:textId="77777777" w:rsidR="006E3844" w:rsidRPr="00140DA2" w:rsidRDefault="00000000">
      <w:pPr>
        <w:spacing w:before="280" w:after="80"/>
        <w:rPr>
          <w:lang w:val="de-DE"/>
        </w:rPr>
      </w:pPr>
      <w:r w:rsidRPr="00140DA2">
        <w:rPr>
          <w:rFonts w:ascii="Calibri" w:hAnsi="Calibri"/>
          <w:b/>
          <w:color w:val="14213D"/>
          <w:sz w:val="28"/>
          <w:lang w:val="de-DE"/>
        </w:rPr>
        <w:t>6. Analyse-Workflow: Qualitative Studie planen und durchführen</w:t>
      </w:r>
    </w:p>
    <w:p w14:paraId="7CDF1E2D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1 – Forschungsfrage formulieren: Offene, explorative Frage, die nicht mit Ja/Nein beantwortbar ist. Beispiel: 'Wie erleben Lehrer die Einführung von KI im Unterricht?'</w:t>
      </w:r>
    </w:p>
    <w:p w14:paraId="1695A30E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2 – Sampling: Gezielte Auswahl von Fällen (</w:t>
      </w:r>
      <w:proofErr w:type="spellStart"/>
      <w:r w:rsidRPr="00140DA2">
        <w:rPr>
          <w:rFonts w:ascii="Calibri" w:hAnsi="Calibri"/>
          <w:sz w:val="19"/>
          <w:lang w:val="de-DE"/>
        </w:rPr>
        <w:t>Purposive</w:t>
      </w:r>
      <w:proofErr w:type="spellEnd"/>
      <w:r w:rsidRPr="00140DA2">
        <w:rPr>
          <w:rFonts w:ascii="Calibri" w:hAnsi="Calibri"/>
          <w:sz w:val="19"/>
          <w:lang w:val="de-DE"/>
        </w:rPr>
        <w:t xml:space="preserve"> Sampling). Kriterien: relevante Merkmale, maximale oder minimale Kontrastierung.</w:t>
      </w:r>
    </w:p>
    <w:p w14:paraId="059D098F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3 – Datenerhebung: Methode wählen (Interview, Beobachtung, Dokumentenanalyse). Erhebungsinstrument entwickeln (Leitfaden, Beobachtungsraster).</w:t>
      </w:r>
    </w:p>
    <w:p w14:paraId="748472A3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4 – Aufbereitung: Transkription nach festen Regeln. Feldnotizen ergänzen. Anonymisierung sicherstellen.</w:t>
      </w:r>
    </w:p>
    <w:p w14:paraId="182EC031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5 – Kodieren: Offenes Kodieren (erste Kategorien bilden). Axiales Kodieren (Beziehungen herstellen). Selektives Kodieren (Kernkategorie identifizieren).</w:t>
      </w:r>
    </w:p>
    <w:p w14:paraId="548FDDB5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6 – Interpretation: Kategorien interpretieren, Muster erkennen, Typen bilden. Ergebnisse in dichte Beschreibung überführen.</w:t>
      </w:r>
    </w:p>
    <w:p w14:paraId="2E3954A7" w14:textId="77777777" w:rsidR="006E3844" w:rsidRPr="00140DA2" w:rsidRDefault="00000000">
      <w:pPr>
        <w:spacing w:after="80"/>
        <w:rPr>
          <w:lang w:val="de-DE"/>
        </w:rPr>
      </w:pPr>
      <w:r w:rsidRPr="00140DA2">
        <w:rPr>
          <w:rFonts w:ascii="Calibri" w:hAnsi="Calibri"/>
          <w:sz w:val="19"/>
          <w:lang w:val="de-DE"/>
        </w:rPr>
        <w:t>Schritt 7 – Gütesicherung: Kommunikative Validierung, Triangulation, Reflexion der eigenen Rolle. Ergebnissicherung: Forschungsbericht oder Artikel.</w:t>
      </w:r>
    </w:p>
    <w:p w14:paraId="687153B9" w14:textId="77777777" w:rsidR="006E3844" w:rsidRPr="00140DA2" w:rsidRDefault="006E3844">
      <w:pPr>
        <w:rPr>
          <w:lang w:val="de-DE"/>
        </w:rPr>
      </w:pPr>
    </w:p>
    <w:p w14:paraId="5EA5BDDE" w14:textId="77777777" w:rsidR="006E3844" w:rsidRPr="00140DA2" w:rsidRDefault="006E3844">
      <w:pPr>
        <w:rPr>
          <w:lang w:val="de-DE"/>
        </w:rPr>
      </w:pPr>
    </w:p>
    <w:p w14:paraId="1771C970" w14:textId="77777777" w:rsidR="006E3844" w:rsidRPr="00140DA2" w:rsidRDefault="00000000">
      <w:pPr>
        <w:jc w:val="center"/>
        <w:rPr>
          <w:lang w:val="de-DE"/>
        </w:rPr>
      </w:pPr>
      <w:r w:rsidRPr="00140DA2">
        <w:rPr>
          <w:color w:val="999999"/>
          <w:sz w:val="16"/>
          <w:lang w:val="de-DE"/>
        </w:rPr>
        <w:t>────────────────────────────────────────────────────────────</w:t>
      </w:r>
    </w:p>
    <w:sectPr w:rsidR="006E3844" w:rsidRPr="00140DA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350C" w14:textId="77777777" w:rsidR="00337D8E" w:rsidRDefault="00337D8E">
      <w:pPr>
        <w:spacing w:after="0" w:line="240" w:lineRule="auto"/>
      </w:pPr>
      <w:r>
        <w:separator/>
      </w:r>
    </w:p>
  </w:endnote>
  <w:endnote w:type="continuationSeparator" w:id="0">
    <w:p w14:paraId="3D442F6D" w14:textId="77777777" w:rsidR="00337D8E" w:rsidRDefault="0033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788F5" w14:textId="77777777" w:rsidR="006E3844" w:rsidRDefault="006E384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0BCC" w14:textId="1BA3DE31" w:rsidR="006E3844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8196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54B8" w14:textId="77777777" w:rsidR="006E3844" w:rsidRDefault="006E384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D3C6E" w14:textId="77777777" w:rsidR="00337D8E" w:rsidRDefault="00337D8E">
      <w:pPr>
        <w:spacing w:after="0" w:line="240" w:lineRule="auto"/>
      </w:pPr>
      <w:r>
        <w:separator/>
      </w:r>
    </w:p>
  </w:footnote>
  <w:footnote w:type="continuationSeparator" w:id="0">
    <w:p w14:paraId="52DDEA94" w14:textId="77777777" w:rsidR="00337D8E" w:rsidRDefault="00337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A8BA" w14:textId="77777777" w:rsidR="006E3844" w:rsidRDefault="006E384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B956" w14:textId="77777777" w:rsidR="006E3844" w:rsidRDefault="006E3844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6E3844" w14:paraId="3C37FE58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83DDA8D" w14:textId="77777777" w:rsidR="006E3844" w:rsidRDefault="00000000">
          <w:r>
            <w:rPr>
              <w:noProof/>
            </w:rPr>
            <w:drawing>
              <wp:inline distT="0" distB="0" distL="0" distR="0" wp14:anchorId="619143F9" wp14:editId="1CE9A3FE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7F649E9" w14:textId="77777777" w:rsidR="006E3844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E7E3EB2" w14:textId="77777777" w:rsidR="006E3844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Qualitative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Forschungsmethoden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Überblick</w:t>
          </w:r>
          <w:proofErr w:type="spellEnd"/>
        </w:p>
      </w:tc>
    </w:tr>
  </w:tbl>
  <w:p w14:paraId="4B253AFA" w14:textId="77777777" w:rsidR="006E3844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BEFD" w14:textId="77777777" w:rsidR="006E3844" w:rsidRDefault="006E384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490751">
    <w:abstractNumId w:val="8"/>
  </w:num>
  <w:num w:numId="2" w16cid:durableId="770013146">
    <w:abstractNumId w:val="6"/>
  </w:num>
  <w:num w:numId="3" w16cid:durableId="1817063716">
    <w:abstractNumId w:val="5"/>
  </w:num>
  <w:num w:numId="4" w16cid:durableId="1784349192">
    <w:abstractNumId w:val="4"/>
  </w:num>
  <w:num w:numId="5" w16cid:durableId="806050423">
    <w:abstractNumId w:val="7"/>
  </w:num>
  <w:num w:numId="6" w16cid:durableId="317463940">
    <w:abstractNumId w:val="3"/>
  </w:num>
  <w:num w:numId="7" w16cid:durableId="687102361">
    <w:abstractNumId w:val="2"/>
  </w:num>
  <w:num w:numId="8" w16cid:durableId="1107432395">
    <w:abstractNumId w:val="1"/>
  </w:num>
  <w:num w:numId="9" w16cid:durableId="116694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40DA2"/>
    <w:rsid w:val="0015074B"/>
    <w:rsid w:val="0029639D"/>
    <w:rsid w:val="00326F90"/>
    <w:rsid w:val="00337D8E"/>
    <w:rsid w:val="006E3844"/>
    <w:rsid w:val="00AA1D8D"/>
    <w:rsid w:val="00B47730"/>
    <w:rsid w:val="00CB0664"/>
    <w:rsid w:val="00D81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2026-05-20T16:52:00Z</dcterms:modified>
  <cp:category/>
</cp:coreProperties>
</file>