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Stell dir vor, du bekommst einen Haufen bunter Legosteine – ohne Anleitung. Du</w:t>
      </w:r>
    </w:p>
    <w:p>
      <w:pPr>
        <w:spacing w:after="80"/>
      </w:pPr>
      <w:r>
        <w:rPr>
          <w:rFonts w:ascii="Calibri" w:hAnsi="Calibri"/>
          <w:sz w:val="19"/>
        </w:rPr>
        <w:t>sortierst sie nach Farbe, Form oder Größe, weil Ähnliches zusammengehört.</w:t>
      </w:r>
    </w:p>
    <w:p>
      <w:pPr>
        <w:spacing w:after="80"/>
      </w:pPr>
      <w:r>
        <w:rPr>
          <w:rFonts w:ascii="Calibri" w:hAnsi="Calibri"/>
          <w:sz w:val="19"/>
        </w:rPr>
        <w:t>Unsupervised Learning macht genau das: Es findet Muster und Gruppen in Daten,</w:t>
      </w:r>
    </w:p>
    <w:p>
      <w:pPr>
        <w:spacing w:after="80"/>
      </w:pPr>
      <w:r>
        <w:rPr>
          <w:rFonts w:ascii="Calibri" w:hAnsi="Calibri"/>
          <w:sz w:val="19"/>
        </w:rPr>
        <w:t>ohne dass vorher gesagt wurde, was zusammengehört.</w:t>
      </w:r>
    </w:p>
    <w:p/>
    <w:p>
      <w:pPr>
        <w:spacing w:after="80"/>
      </w:pPr>
      <w:r>
        <w:rPr>
          <w:rFonts w:ascii="Calibri" w:hAnsi="Calibri"/>
          <w:sz w:val="19"/>
        </w:rPr>
        <w:t>Drei Hauptbereiche:</w:t>
      </w:r>
    </w:p>
    <w:p>
      <w:pPr>
        <w:spacing w:after="80"/>
      </w:pPr>
      <w:r>
        <w:rPr>
          <w:rFonts w:ascii="Calibri" w:hAnsi="Calibri"/>
          <w:sz w:val="19"/>
        </w:rPr>
        <w:t xml:space="preserve">Clustering (k-Means, hierarchisch, DBSCAN): Objekte nach Ähnlichkeit gruppieren.</w:t>
      </w:r>
    </w:p>
    <w:p>
      <w:pPr>
        <w:spacing w:after="80"/>
      </w:pPr>
      <w:r>
        <w:rPr>
          <w:rFonts w:ascii="Calibri" w:hAnsi="Calibri"/>
          <w:sz w:val="19"/>
        </w:rPr>
        <w:t xml:space="preserve">Dimensionsreduktion (PCA, t-SNE, UMAP): Viele Features auf wenige reduzieren.</w:t>
      </w:r>
    </w:p>
    <w:p>
      <w:pPr>
        <w:spacing w:after="80"/>
      </w:pPr>
      <w:r>
        <w:rPr>
          <w:rFonts w:ascii="Calibri" w:hAnsi="Calibri"/>
          <w:sz w:val="19"/>
        </w:rPr>
        <w:t xml:space="preserve">Anomalieerkennung (Isolation Forest, LOF): Seltene Ausreißer finden.</w:t>
      </w:r>
    </w:p>
    <w:p/>
    <w:p>
      <w:pPr>
        <w:spacing w:after="80"/>
      </w:pPr>
      <w:r>
        <w:rPr>
          <w:rFonts w:ascii="Calibri" w:hAnsi="Calibri"/>
          <w:sz w:val="19"/>
        </w:rPr>
        <w:t>Assoziationsregeln (Apriori) finden typische Kombinationen ('Wer Bier kauft,</w:t>
      </w:r>
    </w:p>
    <w:p>
      <w:pPr>
        <w:spacing w:after="80"/>
      </w:pPr>
      <w:r>
        <w:rPr>
          <w:rFonts w:ascii="Calibri" w:hAnsi="Calibri"/>
          <w:sz w:val="19"/>
        </w:rPr>
        <w:t>kauft auch Chips'). Gaussian Mixture Models schätzen Dichten. Und immer dran</w:t>
      </w:r>
    </w:p>
    <w:p>
      <w:pPr>
        <w:spacing w:after="80"/>
      </w:pPr>
      <w:r>
        <w:rPr>
          <w:rFonts w:ascii="Calibri" w:hAnsi="Calibri"/>
          <w:sz w:val="19"/>
        </w:rPr>
        <w:t>denken: Es gibt keine 'richtige' Clusterzahl – Elbow, Silhouette und</w:t>
      </w:r>
    </w:p>
    <w:p>
      <w:pPr>
        <w:spacing w:after="80"/>
      </w:pPr>
      <w:r>
        <w:rPr>
          <w:rFonts w:ascii="Calibri" w:hAnsi="Calibri"/>
          <w:sz w:val="19"/>
        </w:rPr>
        <w:t>Domänenwissen helfen bei der Entscheidung.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(Clustering)</w:t>
      </w:r>
    </w:p>
    <w:p>
      <w:pPr>
        <w:spacing w:after="80"/>
      </w:pPr>
      <w:r>
        <w:rPr>
          <w:rFonts w:ascii="Calibri" w:hAnsi="Calibri"/>
          <w:sz w:val="19"/>
        </w:rPr>
        <w:t>Fragestellung: Welche Milieus/Lebensstile lassen sich aus dem ALLBUS-Datensatz (Freizeitaktivitäten, Werte) extrahieren? k-Means mit Silhouetten-Koeffizient für optimale Clusterzahl. Interpretation der Cluster-Profile für Zielgruppenanalyse.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(PCA)</w:t>
      </w:r>
    </w:p>
    <w:p>
      <w:pPr>
        <w:spacing w:after="80"/>
      </w:pPr>
      <w:r>
        <w:rPr>
          <w:rFonts w:ascii="Calibri" w:hAnsi="Calibri"/>
          <w:sz w:val="19"/>
        </w:rPr>
        <w:t>Fragestellung: 20 Finanzkennzahlen von 500 Unternehmen auf 3-5 Faktoren reduzieren (PCA) für Kreditrating. Erklarte Varianz &gt; 70%. Interpretation der Hauptkomponenten als 'Rentabilität', 'Liquidität', 'Verschuldung'.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(t-SNE)</w:t>
      </w:r>
    </w:p>
    <w:p>
      <w:pPr>
        <w:spacing w:after="80"/>
      </w:pPr>
      <w:r>
        <w:rPr>
          <w:rFonts w:ascii="Calibri" w:hAnsi="Calibri"/>
          <w:sz w:val="19"/>
        </w:rPr>
        <w:t>Fragestellung: Visualisierung von single-cell RNA-seq Daten (1000er Gene) auf 2D. t-SNE/UMAP zeigt Zelltypen als Cluster. Anwendung in der Bioinformatik.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(Clustering)</w:t>
      </w:r>
    </w:p>
    <w:p>
      <w:pPr>
        <w:spacing w:after="80"/>
      </w:pPr>
      <w:r>
        <w:rPr>
          <w:rFonts w:ascii="Calibri" w:hAnsi="Calibri"/>
          <w:sz w:val="19"/>
        </w:rPr>
        <w:t>Fragestellung: Lassen sich literarische Epochen automatisch clustern basierend auf Stilmerkmalen? Hierarchisches Clustering zeigt Dendrogramm. Überrascht: Romanik und fruehe Moderne naeher als erwartet.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Clustering: Skalierung der Features vorab notwendig (StandardScaler).</w:t>
      </w:r>
    </w:p>
    <w:p>
      <w:pPr>
        <w:pStyle w:val="ListBullet"/>
      </w:pPr>
      <w:r>
        <w:rPr>
          <w:rFonts w:ascii="Calibri" w:hAnsi="Calibri"/>
          <w:sz w:val="19"/>
        </w:rPr>
        <w:t>k-Means: empfindsam gegenüber Ausreißern, k muss vorgegeben werden.</w:t>
      </w:r>
    </w:p>
    <w:p>
      <w:pPr>
        <w:pStyle w:val="ListBullet"/>
      </w:pPr>
      <w:r>
        <w:rPr>
          <w:rFonts w:ascii="Calibri" w:hAnsi="Calibri"/>
          <w:sz w:val="19"/>
        </w:rPr>
        <w:t>PCA: Lineares Verfahren. Standardisieren vor PCA zwingend.</w:t>
      </w:r>
    </w:p>
    <w:p>
      <w:pPr>
        <w:pStyle w:val="ListBullet"/>
      </w:pPr>
      <w:r>
        <w:rPr>
          <w:rFonts w:ascii="Calibri" w:hAnsi="Calibri"/>
          <w:sz w:val="19"/>
        </w:rPr>
        <w:t>t-SNE: Stochastisch, Ergebnisse variieren. Perplexity-Tuning noetig.</w:t>
      </w:r>
    </w:p>
    <w:p>
      <w:pPr>
        <w:pStyle w:val="ListBullet"/>
      </w:pPr>
      <w:r>
        <w:rPr>
          <w:rFonts w:ascii="Calibri" w:hAnsi="Calibri"/>
          <w:sz w:val="19"/>
        </w:rPr>
        <w:t>Keine objektive 'richtige' Clusterzahl. Elbow + Silhouette + Domänenwissen.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Cluster nicht überinterpretieren. Immer mit Domänenwissen validieren.</w:t>
      </w:r>
    </w:p>
    <w:p>
      <w:pPr>
        <w:spacing w:after="80"/>
      </w:pPr>
      <w:r>
        <w:rPr>
          <w:rFonts w:ascii="Calibri" w:hAnsi="Calibri"/>
          <w:sz w:val="19"/>
        </w:rPr>
        <w:t>PCA: Hauptkomponenten sind schwer interpretierbar. Rotation (Varimax) hilft.</w:t>
      </w:r>
    </w:p>
    <w:p>
      <w:pPr>
        <w:spacing w:after="80"/>
      </w:pPr>
      <w:r>
        <w:rPr>
          <w:rFonts w:ascii="Calibri" w:hAnsi="Calibri"/>
          <w:sz w:val="19"/>
        </w:rPr>
        <w:t>Elbow-Kriterium: Kniepunkt im WCSS-Plot. Silhouette: &gt; 0.5 als akzeptabel.</w:t>
      </w:r>
    </w:p>
    <w:p>
      <w:pPr>
        <w:spacing w:after="80"/>
      </w:pPr>
      <w:r>
        <w:rPr>
          <w:rFonts w:ascii="Calibri" w:hAnsi="Calibri"/>
          <w:sz w:val="19"/>
        </w:rPr>
        <w:t>Bericht (PCA): '3 Komponenten klaren 71.3% der Gesamtvarianz auf.'</w:t>
      </w:r>
    </w:p>
    <w:p>
      <w:pPr>
        <w:spacing w:after="80"/>
      </w:pPr>
      <w:r>
        <w:rPr>
          <w:rFonts w:ascii="Calibri" w:hAnsi="Calibri"/>
          <w:sz w:val="19"/>
        </w:rPr>
        <w:t>Bericht (Clustering): 'SilhouettenKoeffizient von 0.52 bestätigt 4 Cluster.'</w:t>
      </w:r>
    </w:p>
    <w:p/>
    <w:p>
      <w:pPr>
        <w:spacing w:after="80"/>
      </w:pPr>
      <w:r>
        <w:rPr>
          <w:rFonts w:ascii="Calibri" w:hAnsi="Calibri"/>
          <w:sz w:val="19"/>
        </w:rPr>
        <w:t>Tools: scikit-learn, R (factoextra, cluster), SPSS (Prozeduren &gt; Klassifikation).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(Clustering):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library(factoextra)</w:t>
        <w:br/>
        <w:t>df_scaled &lt;- scale(df)</w:t>
        <w:br/>
        <w:t>km &lt;- kmeans(df_scaled, centers = 4, nstart = 25)</w:t>
        <w:br/>
        <w:t>fviz_cluster(km, data = df_scaled)</w:t>
        <w:br/>
        <w:t># Elbow</w:t>
        <w:br/>
        <w:t>fviz_nbclust(df_scaled, kmeans, method = 'wss')</w:t>
      </w:r>
    </w:p>
    <w:p>
      <w:r>
        <w:rPr>
          <w:rFonts w:ascii="Calibri" w:hAnsi="Calibri"/>
          <w:b/>
          <w:color w:val="4F6D8A"/>
          <w:sz w:val="20"/>
        </w:rPr>
        <w:t>Python (Clustering + PCA):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sklearn.cluster import KMeans</w:t>
        <w:br/>
        <w:t>from sklearn.decomposition import PCA</w:t>
        <w:br/>
        <w:t>from sklearn.preprocessing import StandardScaler</w:t>
        <w:br/>
        <w:t>X_s = StandardScaler().fit_transform(X)</w:t>
        <w:br/>
        <w:t>km = KMeans(n_clusters=4, random_state=42).fit(X_s)</w:t>
        <w:br/>
        <w:t>pca = PCA(n_components=2).fit_transform(X_s)</w:t>
        <w:br/>
        <w:t>plt.scatter(pca[:,0], pca[:,1], c=km.labels_, cmap='Set2')</w:t>
      </w:r>
    </w:p>
    <w:p>
      <w:r>
        <w:rPr>
          <w:rFonts w:ascii="Calibri" w:hAnsi="Calibri"/>
          <w:b/>
          <w:color w:val="4F6D8A"/>
          <w:sz w:val="20"/>
        </w:rPr>
        <w:t>R (t-SNE):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library(Rtsne)</w:t>
        <w:br/>
        <w:t>tsne &lt;- Rtsne(df_scaled, perplexity=30)</w:t>
        <w:br/>
        <w:t>plot(tsne$Y, col=km$cluster, pch=16)</w:t>
      </w:r>
    </w:p>
    <w:p>
      <w:r>
        <w:rPr>
          <w:rFonts w:ascii="Calibri" w:hAnsi="Calibri"/>
          <w:b/>
          <w:color w:val="4F6D8A"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* Clustering (k-Means):</w:t>
        <w:br/>
        <w:t>QUICK CLUSTER var1 TO var10 /CRITERIA=CLUSTERS(4).</w:t>
        <w:br/>
        <w:t>* PCA:</w:t>
        <w:br/>
        <w:t>FACTOR /VARIABLES var1 TO var20</w:t>
        <w:br/>
        <w:t xml:space="preserve">/CRITERIA FACTORS(5) ITERATE(25)</w:t>
        <w:br/>
        <w:t xml:space="preserve">/EXTRACTION PC /ROTATION VARIMAX.</w:t>
      </w:r>
    </w:p>
    <w:p>
      <w:r>
        <w:rPr>
          <w:rFonts w:ascii="Calibri" w:hAnsi="Calibri"/>
          <w:b/>
          <w:color w:val="4F6D8A"/>
          <w:sz w:val="20"/>
        </w:rPr>
        <w:t>Python (DBSCAN):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sklearn.cluster import DBSCAN</w:t>
        <w:br/>
        <w:t>db = DBSCAN(eps=0.5, min_samples=5).fit(X_s)</w:t>
        <w:br/>
        <w:t># -1 = Rauschen (Ausreißer)</w:t>
        <w:br/>
        <w:t>print(set(db.labels_))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Machine Learning: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