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EA42" w14:textId="77777777" w:rsidR="00B973A4" w:rsidRPr="0082248D" w:rsidRDefault="00000000">
      <w:pPr>
        <w:jc w:val="center"/>
        <w:rPr>
          <w:lang w:val="de-DE"/>
        </w:rPr>
      </w:pPr>
      <w:r w:rsidRPr="0082248D">
        <w:rPr>
          <w:rFonts w:ascii="Calibri" w:hAnsi="Calibri"/>
          <w:b/>
          <w:color w:val="14213D"/>
          <w:sz w:val="32"/>
          <w:lang w:val="de-DE"/>
        </w:rPr>
        <w:t>Prüfung: Nichtparametrische Tests</w:t>
      </w:r>
    </w:p>
    <w:p w14:paraId="2FAEBB06" w14:textId="77777777" w:rsidR="00B973A4" w:rsidRPr="0082248D" w:rsidRDefault="00000000">
      <w:pPr>
        <w:jc w:val="center"/>
        <w:rPr>
          <w:lang w:val="de-DE"/>
        </w:rPr>
      </w:pPr>
      <w:r w:rsidRPr="0082248D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5D498EDF" w14:textId="77777777" w:rsidR="00B973A4" w:rsidRPr="0082248D" w:rsidRDefault="00B973A4">
      <w:pPr>
        <w:rPr>
          <w:lang w:val="de-DE"/>
        </w:rPr>
      </w:pPr>
    </w:p>
    <w:p w14:paraId="69FAFBF8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1. Wann sind nichtparametrische Tests indiziert?</w:t>
      </w:r>
    </w:p>
    <w:p w14:paraId="5CA135B4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Bei Varianzhomogenität</w:t>
      </w:r>
    </w:p>
    <w:p w14:paraId="2F9627B6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Bei verletzter Normalverteilungsannahme</w:t>
      </w:r>
    </w:p>
    <w:p w14:paraId="2E7E4B7B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Bei metrischen Daten</w:t>
      </w:r>
    </w:p>
    <w:p w14:paraId="3E2289C5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Bei großen Stichproben</w:t>
      </w:r>
    </w:p>
    <w:p w14:paraId="1F16B6F7" w14:textId="77777777" w:rsidR="0082248D" w:rsidRPr="0082248D" w:rsidRDefault="0082248D">
      <w:pPr>
        <w:spacing w:after="40"/>
        <w:ind w:left="567"/>
        <w:rPr>
          <w:lang w:val="de-DE"/>
        </w:rPr>
      </w:pPr>
    </w:p>
    <w:p w14:paraId="4E0C2D79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2. Welcher Test ist das nichtparametrische Pendant zum t-Test?</w:t>
      </w:r>
    </w:p>
    <w:p w14:paraId="44394BCE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Korrelation nach Pearson</w:t>
      </w:r>
    </w:p>
    <w:p w14:paraId="651DF74C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Mann-Whitney-U-Test</w:t>
      </w:r>
    </w:p>
    <w:p w14:paraId="49A51A2A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ANOVA</w:t>
      </w:r>
    </w:p>
    <w:p w14:paraId="5DE9AB40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Chi-Quadrat</w:t>
      </w:r>
    </w:p>
    <w:p w14:paraId="59386D9C" w14:textId="77777777" w:rsidR="0082248D" w:rsidRPr="0082248D" w:rsidRDefault="0082248D">
      <w:pPr>
        <w:spacing w:after="40"/>
        <w:ind w:left="567"/>
        <w:rPr>
          <w:lang w:val="de-DE"/>
        </w:rPr>
      </w:pPr>
    </w:p>
    <w:p w14:paraId="685BA8F7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3. Was testet der Wilcoxon-Vorzeichen-Rang-Test?</w:t>
      </w:r>
    </w:p>
    <w:p w14:paraId="1F6DE918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Unterschiede in zwei verbundenen Stichproben</w:t>
      </w:r>
    </w:p>
    <w:p w14:paraId="5693FDA2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Zusammenhang zweier Variablen</w:t>
      </w:r>
    </w:p>
    <w:p w14:paraId="0676075F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Unterschiede in unabhängigen Gruppen</w:t>
      </w:r>
    </w:p>
    <w:p w14:paraId="790580FB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Normalverteilung</w:t>
      </w:r>
    </w:p>
    <w:p w14:paraId="5FEE62CC" w14:textId="77777777" w:rsidR="0082248D" w:rsidRPr="0082248D" w:rsidRDefault="0082248D">
      <w:pPr>
        <w:spacing w:after="40"/>
        <w:ind w:left="567"/>
        <w:rPr>
          <w:lang w:val="de-DE"/>
        </w:rPr>
      </w:pPr>
    </w:p>
    <w:p w14:paraId="6332033C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4. Welcher Test vergleicht 3+ unabhängige Gruppen nichtparametrisch?</w:t>
      </w:r>
    </w:p>
    <w:p w14:paraId="10B2FDED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Friedman-Test</w:t>
      </w:r>
    </w:p>
    <w:p w14:paraId="3DC41A81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Kruskal-Wallis-Test</w:t>
      </w:r>
    </w:p>
    <w:p w14:paraId="2739A38D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Mann-Whitney-U</w:t>
      </w:r>
    </w:p>
    <w:p w14:paraId="69442625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Wilcoxon-Test</w:t>
      </w:r>
    </w:p>
    <w:p w14:paraId="5AD107C6" w14:textId="77777777" w:rsidR="0082248D" w:rsidRPr="0082248D" w:rsidRDefault="0082248D">
      <w:pPr>
        <w:spacing w:after="40"/>
        <w:ind w:left="567"/>
        <w:rPr>
          <w:lang w:val="de-DE"/>
        </w:rPr>
      </w:pPr>
    </w:p>
    <w:p w14:paraId="7678560B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5. Welcher Test vergleicht 3+ verbundene Gruppen nichtparametrisch?</w:t>
      </w:r>
    </w:p>
    <w:p w14:paraId="0189E6D3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Kruskal-Wallis</w:t>
      </w:r>
    </w:p>
    <w:p w14:paraId="2268E5D3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Chi-Quadrat</w:t>
      </w:r>
    </w:p>
    <w:p w14:paraId="2D4599D6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Friedman-Test</w:t>
      </w:r>
    </w:p>
    <w:p w14:paraId="622B5EF9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Mann-Whitney-U</w:t>
      </w:r>
    </w:p>
    <w:p w14:paraId="269DB975" w14:textId="7E0F1327" w:rsidR="0082248D" w:rsidRDefault="0082248D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34E76FCE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lastRenderedPageBreak/>
        <w:t>6. Was ist der Nachteil nichtparametrischer Tests?</w:t>
      </w:r>
    </w:p>
    <w:p w14:paraId="2DB8FEDD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Geringere Power bei erfüllten Parametervoraussetzungen</w:t>
      </w:r>
    </w:p>
    <w:p w14:paraId="2D1633A3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Sie benötigen größere Stichproben</w:t>
      </w:r>
    </w:p>
    <w:p w14:paraId="47C7B567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Sie setzen Normalverteilung voraus</w:t>
      </w:r>
    </w:p>
    <w:p w14:paraId="53870B4E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Sie können nur Dichotomien testen</w:t>
      </w:r>
    </w:p>
    <w:p w14:paraId="08D7542B" w14:textId="77777777" w:rsidR="0082248D" w:rsidRPr="0082248D" w:rsidRDefault="0082248D">
      <w:pPr>
        <w:spacing w:after="40"/>
        <w:ind w:left="567"/>
        <w:rPr>
          <w:lang w:val="de-DE"/>
        </w:rPr>
      </w:pPr>
    </w:p>
    <w:p w14:paraId="7EC995D6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7. Welche Informationen nutzt der Mann-Whitney-U-Test?</w:t>
      </w:r>
    </w:p>
    <w:p w14:paraId="16861F2B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Rangplätze der Werte</w:t>
      </w:r>
    </w:p>
    <w:p w14:paraId="326661CE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Mittelwerte der Gruppen</w:t>
      </w:r>
    </w:p>
    <w:p w14:paraId="1CC2E39F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Die tatsächlichen Messwerte</w:t>
      </w:r>
    </w:p>
    <w:p w14:paraId="7BA2FEAF" w14:textId="77777777" w:rsidR="00B973A4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82248D">
        <w:rPr>
          <w:rFonts w:ascii="Calibri" w:hAnsi="Calibri"/>
          <w:sz w:val="19"/>
          <w:lang w:val="de-DE"/>
        </w:rPr>
        <w:t>D) Varianzen der Gruppen</w:t>
      </w:r>
    </w:p>
    <w:p w14:paraId="60B45D70" w14:textId="77777777" w:rsidR="0082248D" w:rsidRPr="0082248D" w:rsidRDefault="0082248D">
      <w:pPr>
        <w:spacing w:after="40"/>
        <w:ind w:left="567"/>
        <w:rPr>
          <w:lang w:val="de-DE"/>
        </w:rPr>
      </w:pPr>
    </w:p>
    <w:p w14:paraId="37117B0F" w14:textId="77777777" w:rsidR="00B973A4" w:rsidRPr="0082248D" w:rsidRDefault="00000000">
      <w:pPr>
        <w:spacing w:before="200"/>
        <w:rPr>
          <w:lang w:val="de-DE"/>
        </w:rPr>
      </w:pPr>
      <w:r w:rsidRPr="0082248D">
        <w:rPr>
          <w:rFonts w:ascii="Calibri" w:hAnsi="Calibri"/>
          <w:b/>
          <w:sz w:val="20"/>
          <w:lang w:val="de-DE"/>
        </w:rPr>
        <w:t>8. Der Friedman-Test ist das Pendant zu welchem parametrischen Verfahren?</w:t>
      </w:r>
    </w:p>
    <w:p w14:paraId="34AAAF1D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A) Pearson-Korrelation</w:t>
      </w:r>
    </w:p>
    <w:p w14:paraId="130CBC03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B) t-Test</w:t>
      </w:r>
    </w:p>
    <w:p w14:paraId="6A9575B6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C) Einfaktorielle ANOVA mit Messwiederholung</w:t>
      </w:r>
    </w:p>
    <w:p w14:paraId="02D1B0EC" w14:textId="77777777" w:rsidR="00B973A4" w:rsidRPr="0082248D" w:rsidRDefault="00000000">
      <w:pPr>
        <w:spacing w:after="40"/>
        <w:ind w:left="567"/>
        <w:rPr>
          <w:lang w:val="de-DE"/>
        </w:rPr>
      </w:pPr>
      <w:r w:rsidRPr="0082248D">
        <w:rPr>
          <w:rFonts w:ascii="Calibri" w:hAnsi="Calibri"/>
          <w:sz w:val="19"/>
          <w:lang w:val="de-DE"/>
        </w:rPr>
        <w:t>D) Multiple Regression</w:t>
      </w:r>
    </w:p>
    <w:p w14:paraId="417CED21" w14:textId="77777777" w:rsidR="00B973A4" w:rsidRPr="0082248D" w:rsidRDefault="00000000">
      <w:pPr>
        <w:rPr>
          <w:lang w:val="de-DE"/>
        </w:rPr>
      </w:pPr>
      <w:r w:rsidRPr="0082248D">
        <w:rPr>
          <w:lang w:val="de-DE"/>
        </w:rPr>
        <w:br w:type="page"/>
      </w:r>
    </w:p>
    <w:p w14:paraId="70A1E8F3" w14:textId="77777777" w:rsidR="00B973A4" w:rsidRPr="0082248D" w:rsidRDefault="00000000">
      <w:pPr>
        <w:jc w:val="center"/>
        <w:rPr>
          <w:lang w:val="de-DE"/>
        </w:rPr>
      </w:pPr>
      <w:r w:rsidRPr="0082248D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0E729A95" w14:textId="77777777" w:rsidR="00B973A4" w:rsidRPr="0082248D" w:rsidRDefault="00B973A4">
      <w:pPr>
        <w:rPr>
          <w:lang w:val="de-DE"/>
        </w:rPr>
      </w:pPr>
    </w:p>
    <w:p w14:paraId="5DA0F39C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1: B</w:t>
      </w:r>
    </w:p>
    <w:p w14:paraId="02AE8B55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2: B</w:t>
      </w:r>
    </w:p>
    <w:p w14:paraId="7D23DF51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3: A</w:t>
      </w:r>
    </w:p>
    <w:p w14:paraId="643B2368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4: B</w:t>
      </w:r>
    </w:p>
    <w:p w14:paraId="4BCA3CCC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5: C</w:t>
      </w:r>
    </w:p>
    <w:p w14:paraId="288B4D28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6: A</w:t>
      </w:r>
    </w:p>
    <w:p w14:paraId="031BB25B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7: A</w:t>
      </w:r>
    </w:p>
    <w:p w14:paraId="5895F0B9" w14:textId="77777777" w:rsidR="00B973A4" w:rsidRPr="0082248D" w:rsidRDefault="00000000">
      <w:pPr>
        <w:ind w:left="567"/>
        <w:rPr>
          <w:lang w:val="de-DE"/>
        </w:rPr>
      </w:pPr>
      <w:r w:rsidRPr="0082248D">
        <w:rPr>
          <w:rFonts w:ascii="Calibri" w:hAnsi="Calibri"/>
          <w:b/>
          <w:color w:val="14213D"/>
          <w:sz w:val="19"/>
          <w:lang w:val="de-DE"/>
        </w:rPr>
        <w:t>8: C</w:t>
      </w:r>
    </w:p>
    <w:sectPr w:rsidR="00B973A4" w:rsidRPr="0082248D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FD23C" w14:textId="77777777" w:rsidR="00091C65" w:rsidRDefault="00091C65">
      <w:pPr>
        <w:spacing w:after="0" w:line="240" w:lineRule="auto"/>
      </w:pPr>
      <w:r>
        <w:separator/>
      </w:r>
    </w:p>
  </w:endnote>
  <w:endnote w:type="continuationSeparator" w:id="0">
    <w:p w14:paraId="6FFCE1A6" w14:textId="77777777" w:rsidR="00091C65" w:rsidRDefault="00091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E0291" w14:textId="77777777" w:rsidR="00B973A4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6AF75" w14:textId="77777777" w:rsidR="00091C65" w:rsidRDefault="00091C65">
      <w:pPr>
        <w:spacing w:after="0" w:line="240" w:lineRule="auto"/>
      </w:pPr>
      <w:r>
        <w:separator/>
      </w:r>
    </w:p>
  </w:footnote>
  <w:footnote w:type="continuationSeparator" w:id="0">
    <w:p w14:paraId="6F1E74E1" w14:textId="77777777" w:rsidR="00091C65" w:rsidRDefault="00091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AAD5" w14:textId="77777777" w:rsidR="00B973A4" w:rsidRPr="0082248D" w:rsidRDefault="00B973A4">
    <w:pPr>
      <w:pStyle w:val="Kopfzeile"/>
      <w:rPr>
        <w:lang w:val="de-DE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B973A4" w:rsidRPr="0082248D" w14:paraId="2E3CD6AC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4305012" w14:textId="77777777" w:rsidR="00B973A4" w:rsidRPr="0082248D" w:rsidRDefault="00000000">
          <w:pPr>
            <w:rPr>
              <w:lang w:val="de-DE"/>
            </w:rPr>
          </w:pPr>
          <w:r w:rsidRPr="0082248D">
            <w:rPr>
              <w:noProof/>
              <w:lang w:val="de-DE"/>
            </w:rPr>
            <w:drawing>
              <wp:inline distT="0" distB="0" distL="0" distR="0" wp14:anchorId="027189F4" wp14:editId="58C5F735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0C7CA034" w14:textId="77777777" w:rsidR="00B973A4" w:rsidRPr="0082248D" w:rsidRDefault="00000000">
          <w:pPr>
            <w:spacing w:after="0"/>
            <w:jc w:val="right"/>
            <w:rPr>
              <w:lang w:val="de-DE"/>
            </w:rPr>
          </w:pPr>
          <w:r w:rsidRPr="0082248D">
            <w:rPr>
              <w:rFonts w:ascii="Calibri" w:hAnsi="Calibri"/>
              <w:b/>
              <w:color w:val="14213D"/>
              <w:sz w:val="18"/>
              <w:lang w:val="de-DE"/>
            </w:rPr>
            <w:t xml:space="preserve">Kevin Glock Statistical Consulting Services | </w:t>
          </w:r>
          <w:proofErr w:type="gramStart"/>
          <w:r w:rsidRPr="0082248D">
            <w:rPr>
              <w:rFonts w:ascii="Calibri" w:hAnsi="Calibri"/>
              <w:b/>
              <w:color w:val="14213D"/>
              <w:sz w:val="18"/>
              <w:lang w:val="de-DE"/>
            </w:rPr>
            <w:t>GSC Services</w:t>
          </w:r>
          <w:proofErr w:type="gramEnd"/>
        </w:p>
        <w:p w14:paraId="241AABC8" w14:textId="4E71DA7F" w:rsidR="00B973A4" w:rsidRPr="0082248D" w:rsidRDefault="00000000">
          <w:pPr>
            <w:spacing w:after="0"/>
            <w:jc w:val="right"/>
            <w:rPr>
              <w:lang w:val="de-DE"/>
            </w:rPr>
          </w:pPr>
          <w:r w:rsidRPr="0082248D">
            <w:rPr>
              <w:rFonts w:ascii="Calibri" w:hAnsi="Calibri"/>
              <w:color w:val="4F6D8A"/>
              <w:sz w:val="17"/>
              <w:lang w:val="de-DE"/>
            </w:rPr>
            <w:t>Prüfung: Nicht</w:t>
          </w:r>
          <w:r w:rsidR="0082248D" w:rsidRPr="0082248D">
            <w:rPr>
              <w:rFonts w:ascii="Calibri" w:hAnsi="Calibri"/>
              <w:color w:val="4F6D8A"/>
              <w:sz w:val="17"/>
              <w:lang w:val="de-DE"/>
            </w:rPr>
            <w:t>-</w:t>
          </w:r>
          <w:r w:rsidRPr="0082248D">
            <w:rPr>
              <w:rFonts w:ascii="Calibri" w:hAnsi="Calibri"/>
              <w:color w:val="4F6D8A"/>
              <w:sz w:val="17"/>
              <w:lang w:val="de-DE"/>
            </w:rPr>
            <w:t>parametrische Tests</w:t>
          </w:r>
        </w:p>
      </w:tc>
    </w:tr>
  </w:tbl>
  <w:p w14:paraId="6F04551B" w14:textId="77777777" w:rsidR="00B973A4" w:rsidRPr="0082248D" w:rsidRDefault="00000000">
    <w:pPr>
      <w:spacing w:after="80"/>
      <w:rPr>
        <w:lang w:val="de-DE"/>
      </w:rPr>
    </w:pPr>
    <w:r w:rsidRPr="0082248D">
      <w:rPr>
        <w:color w:val="FF6600"/>
        <w:sz w:val="8"/>
        <w:lang w:val="de-DE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82688">
    <w:abstractNumId w:val="8"/>
  </w:num>
  <w:num w:numId="2" w16cid:durableId="2133480830">
    <w:abstractNumId w:val="6"/>
  </w:num>
  <w:num w:numId="3" w16cid:durableId="132645487">
    <w:abstractNumId w:val="5"/>
  </w:num>
  <w:num w:numId="4" w16cid:durableId="1910075354">
    <w:abstractNumId w:val="4"/>
  </w:num>
  <w:num w:numId="5" w16cid:durableId="2033531847">
    <w:abstractNumId w:val="7"/>
  </w:num>
  <w:num w:numId="6" w16cid:durableId="986857763">
    <w:abstractNumId w:val="3"/>
  </w:num>
  <w:num w:numId="7" w16cid:durableId="2064600170">
    <w:abstractNumId w:val="2"/>
  </w:num>
  <w:num w:numId="8" w16cid:durableId="656491853">
    <w:abstractNumId w:val="1"/>
  </w:num>
  <w:num w:numId="9" w16cid:durableId="37583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C65"/>
    <w:rsid w:val="0015074B"/>
    <w:rsid w:val="0029639D"/>
    <w:rsid w:val="00326F90"/>
    <w:rsid w:val="006958E3"/>
    <w:rsid w:val="0082248D"/>
    <w:rsid w:val="00AA1D8D"/>
    <w:rsid w:val="00B47730"/>
    <w:rsid w:val="00B973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1280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2026-05-20T14:40:00Z</dcterms:modified>
  <cp:category/>
</cp:coreProperties>
</file>