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7F8C8D"/>
          <w:sz w:val="22"/>
          <w:szCs w:val="22"/>
        </w:rPr>
        <w:t xml:space="preserve">DESIGN DOCUMENT</w:t>
      </w:r>
    </w:p>
    <w:p>
      <w:pPr>
        <w:spacing w:after="40"/>
      </w:pPr>
      <w:r>
        <w:rPr>
          <w:rFonts w:ascii="Arial" w:cs="Arial" w:eastAsia="Arial" w:hAnsi="Arial"/>
          <w:b/>
          <w:bCs/>
          <w:color w:val="1A5276"/>
          <w:sz w:val="48"/>
          <w:szCs w:val="48"/>
        </w:rPr>
        <w:t xml:space="preserve">Gas Price System Dynamics Simulator</w:t>
      </w:r>
    </w:p>
    <w:p>
      <w:pPr>
        <w:pBdr>
          <w:bottom w:val="single" w:color="1A5276" w:sz="6" w:space="8"/>
        </w:pBdr>
        <w:spacing w:after="200"/>
      </w:pPr>
      <w:r>
        <w:rPr>
          <w:rFonts w:ascii="Arial" w:cs="Arial" w:eastAsia="Arial" w:hAnsi="Arial"/>
          <w:i/>
          <w:iCs/>
          <w:color w:val="5D6D7E"/>
          <w:sz w:val="24"/>
          <w:szCs w:val="24"/>
        </w:rPr>
        <w:t xml:space="preserve">An interactive simulation of U.S. gasoline price dynamics under geopolitical shock scenarios</w:t>
      </w:r>
    </w:p>
    <w:p>
      <w:pPr>
        <w:spacing w:after="300"/>
      </w:pPr>
      <w:r>
        <w:rPr>
          <w:color w:val="7F8C8D"/>
          <w:sz w:val="20"/>
          <w:szCs w:val="20"/>
        </w:rPr>
        <w:t xml:space="preserve">Prepared: </w:t>
      </w:r>
      <w:r>
        <w:rPr>
          <w:b/>
          <w:bCs/>
          <w:color w:val="7F8C8D"/>
          <w:sz w:val="20"/>
          <w:szCs w:val="20"/>
        </w:rPr>
        <w:t xml:space="preserve">March 12, 2026</w:t>
      </w:r>
      <w:r>
        <w:rPr>
          <w:color w:val="7F8C8D"/>
          <w:sz w:val="20"/>
          <w:szCs w:val="20"/>
        </w:rPr>
        <w:t xml:space="preserve">    Target: </w:t>
      </w:r>
      <w:r>
        <w:rPr>
          <w:b/>
          <w:bCs/>
          <w:color w:val="7F8C8D"/>
          <w:sz w:val="20"/>
          <w:szCs w:val="20"/>
        </w:rPr>
        <w:t xml:space="preserve">Claude Code implementation</w:t>
      </w:r>
    </w:p>
    <w:p>
      <w:pPr>
        <w:pStyle w:val="Heading1"/>
      </w:pPr>
      <w:r>
        <w:t xml:space="preserve">1. Context and Motivation</w:t>
      </w:r>
    </w:p>
    <w:p>
      <w:pPr>
        <w:spacing w:after="80"/>
      </w:pPr>
    </w:p>
    <w:p>
      <w:pPr>
        <w:spacing w:after="160" w:line="300"/>
      </w:pPr>
      <w:r>
        <w:rPr>
          <w:sz w:val="22"/>
          <w:szCs w:val="22"/>
        </w:rPr>
        <w:t xml:space="preserve">We attempted to model U.S. gasoline price trajectories under different Strait of Hormuz closure scenarios using a simple linear conversion: crude oil price in, gas price out, with a pass-through lag. It failed in instructive ways.</w:t>
      </w:r>
    </w:p>
    <w:p>
      <w:pPr>
        <w:spacing w:after="80"/>
      </w:pPr>
    </w:p>
    <w:p>
      <w:pPr>
        <w:pStyle w:val="Heading3"/>
      </w:pPr>
      <w:r>
        <w:t xml:space="preserve">What went wrong</w:t>
      </w:r>
    </w:p>
    <w:p>
      <w:pPr>
        <w:pStyle w:val="ListParagraph"/>
        <w:numPr>
          <w:ilvl w:val="0"/>
          <w:numId w:val="2"/>
        </w:numPr>
        <w:spacing w:after="80" w:line="280"/>
      </w:pPr>
      <w:r>
        <w:rPr>
          <w:sz w:val="22"/>
          <w:szCs w:val="22"/>
        </w:rPr>
        <w:t xml:space="preserve">The pass-through function produced gas prices at the “today” marker ($3.32) that were well below the actual observed price ($3.60), because the model underestimated how fast crisis-mode pass-through works.</w:t>
      </w:r>
    </w:p>
    <w:p>
      <w:pPr>
        <w:pStyle w:val="ListParagraph"/>
        <w:numPr>
          <w:ilvl w:val="0"/>
          <w:numId w:val="2"/>
        </w:numPr>
        <w:spacing w:after="80" w:line="280"/>
      </w:pPr>
      <w:r>
        <w:rPr>
          <w:sz w:val="22"/>
          <w:szCs w:val="22"/>
        </w:rPr>
        <w:t xml:space="preserve">Recalibrating the pass-through rate fixed the anchor point but exposed a deeper problem: the model treats crude-to-gas as a single-variable pipe, ignoring the circular feedback loops that actually determine prices.</w:t>
      </w:r>
    </w:p>
    <w:p>
      <w:pPr>
        <w:pStyle w:val="ListParagraph"/>
        <w:numPr>
          <w:ilvl w:val="0"/>
          <w:numId w:val="2"/>
        </w:numPr>
        <w:spacing w:after="80" w:line="280"/>
      </w:pPr>
      <w:r>
        <w:rPr>
          <w:sz w:val="22"/>
          <w:szCs w:val="22"/>
        </w:rPr>
        <w:t xml:space="preserve">Crack spreads (refinery margins) widen independently during supply shocks. Inventory drawdowns accelerate price transmission. Demand destruction creates a negative feedback loop at high prices. Seasonal refinery maintenance creates step-function supply drops. None of these are in the linear model.</w:t>
      </w:r>
    </w:p>
    <w:p>
      <w:pPr>
        <w:spacing w:after="80"/>
      </w:pPr>
    </w:p>
    <w:p>
      <w:pPr>
        <w:pStyle w:val="Heading3"/>
      </w:pPr>
      <w:r>
        <w:t xml:space="preserve">What we need instead</w:t>
      </w:r>
    </w:p>
    <w:p>
      <w:pPr>
        <w:spacing w:after="160" w:line="300"/>
      </w:pPr>
      <w:r>
        <w:rPr>
          <w:sz w:val="22"/>
          <w:szCs w:val="22"/>
        </w:rPr>
        <w:t xml:space="preserve">A system dynamics simulation where the user manipulates geopolitical and market assumptions, and the model propagates those assumptions through a network of interacting variables with feedback loops. The output is a probability cone (not a single line), and the driving assumptions are visible alongside the results.</w:t>
      </w:r>
    </w:p>
    <w:p>
      <w:r>
        <w:br w:type="page"/>
      </w:r>
    </w:p>
    <w:p>
      <w:pPr>
        <w:pStyle w:val="Heading1"/>
      </w:pPr>
      <w:r>
        <w:t xml:space="preserve">2. System Variables</w:t>
      </w:r>
    </w:p>
    <w:p>
      <w:pPr>
        <w:spacing w:after="80"/>
      </w:pPr>
    </w:p>
    <w:p>
      <w:pPr>
        <w:spacing w:after="160" w:line="300"/>
      </w:pPr>
      <w:r>
        <w:rPr>
          <w:sz w:val="22"/>
          <w:szCs w:val="22"/>
        </w:rPr>
        <w:t xml:space="preserve">The simulation tracks 12 core variables organized into four layers: supply, processing, market, and demand. Each variable is computed iteratively per time step (1 week), and many feed back into each other.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1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Unit</w:t>
            </w:r>
          </w:p>
        </w:tc>
        <w:tc>
          <w:tcPr>
            <w:tcW w:type="dxa" w:w="2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 Value (Feb 28)</w:t>
            </w:r>
          </w:p>
        </w:tc>
        <w:tc>
          <w:tcPr>
            <w:tcW w:type="dxa" w:w="3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Driven By</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Strait throughput</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mbd</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~21 mbd</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User input (slider)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OPEC+ output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mbd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~27 mbd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User input + price response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US production</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mbd</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~13.2 mbd</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Price signal (lagged 8–12 wks)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SPR release rate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mbd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0</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User input (triggered at price threshold)</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Global crude supply</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mbd</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~101 mbd</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Sum of above + non-OPEC</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Global crude demand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mbd</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~102 mbd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Baseline + price elasticity + seasonal</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WTI crude price</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$/bbl</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$67</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Supply-demand balance + risk premium</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Crack spread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$/bbl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~$18</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Refinery utilization + crude price + season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Refinery utilization</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~87%</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Seasonal schedule + crack spread incentive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Gasoline inventory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M bbl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~247</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Refinery output – consumption</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Retail gas price</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$/gal</w:t>
            </w:r>
          </w:p>
        </w:tc>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$2.98</w:t>
            </w:r>
          </w:p>
        </w:tc>
        <w:tc>
          <w:tcPr>
            <w:tcW w:type="dxa" w:w="3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Crude + crack spread + tax + margin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Consumer demand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M gal/day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~369</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Seasonal + price elasticity feedback</w:t>
            </w:r>
          </w:p>
        </w:tc>
      </w:tr>
    </w:tbl>
    <w:p>
      <w:pPr>
        <w:spacing w:after="80"/>
      </w:pPr>
    </w:p>
    <w:p>
      <w:pPr>
        <w:spacing w:after="160" w:line="300"/>
      </w:pPr>
      <w:r>
        <w:rPr>
          <w:i/>
          <w:iCs/>
          <w:sz w:val="22"/>
          <w:szCs w:val="22"/>
        </w:rPr>
        <w:t xml:space="preserve">mbd = million barrels per day. M bbl = million barrels. Initial values are approximate and sourced from EIA and IEA data as of late February 2026.</w:t>
      </w:r>
    </w:p>
    <w:p>
      <w:r>
        <w:br w:type="page"/>
      </w:r>
    </w:p>
    <w:p>
      <w:pPr>
        <w:pStyle w:val="Heading1"/>
      </w:pPr>
      <w:r>
        <w:t xml:space="preserve">3. Feedback Loops</w:t>
      </w:r>
    </w:p>
    <w:p>
      <w:pPr>
        <w:spacing w:after="80"/>
      </w:pPr>
    </w:p>
    <w:p>
      <w:pPr>
        <w:spacing w:after="160" w:line="300"/>
      </w:pPr>
      <w:r>
        <w:rPr>
          <w:sz w:val="22"/>
          <w:szCs w:val="22"/>
        </w:rPr>
        <w:t xml:space="preserve">The system contains both reinforcing (positive) and balancing (negative) feedback loops. The dominant loop shifts depending on the phase of the crisis. Understanding which loop is active at any given time is more important than the absolute price level.</w:t>
      </w:r>
    </w:p>
    <w:p>
      <w:pPr>
        <w:spacing w:after="80"/>
      </w:pPr>
    </w:p>
    <w:p>
      <w:pPr>
        <w:pStyle w:val="Heading2"/>
      </w:pPr>
      <w:r>
        <w:t xml:space="preserve">3.1 Reinforcing Loops (price goes up → price goes up more)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Loop R1: Speculation Spiral</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Strait closure → crude price rises → futures curve steepens (contango) → traders hoard physical barrels → available supply drops → crude price rises further</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i/>
                <w:iCs/>
                <w:sz w:val="22"/>
                <w:szCs w:val="22"/>
              </w:rPr>
              <w:t xml:space="preserve">Dominant in: weeks 1–4 of a shock. Decays as futures curve flattens.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Loop R2: Inventory Panic</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Supply disruption → gasoline inventories draw down → retailers raise prices preemptively → consumers panic-buy (fill up early, top off frequently) → demand spikes → inventories draw down faster</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i/>
                <w:iCs/>
                <w:sz w:val="22"/>
                <w:szCs w:val="22"/>
              </w:rPr>
              <w:t xml:space="preserve">Dominant in: weeks 2–6. Self-limiting as tanks are finite.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Loop R3: Crack Spread Expansion</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Crude price rises → refinery input costs rise → refineries widen margins (crack spread) because constrained supply gives pricing power → gas price rises faster than crude alone would justify → higher retail prices independent of crude moves</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i/>
                <w:iCs/>
                <w:sz w:val="22"/>
                <w:szCs w:val="22"/>
              </w:rPr>
              <w:t xml:space="preserve">Dominant in: weeks 2–8, especially during seasonal maintenance windows.</w:t>
            </w:r>
          </w:p>
        </w:tc>
      </w:tr>
    </w:tbl>
    <w:p>
      <w:pPr>
        <w:spacing w:after="80"/>
      </w:pPr>
    </w:p>
    <w:p>
      <w:pPr>
        <w:pStyle w:val="Heading2"/>
      </w:pPr>
      <w:r>
        <w:t xml:space="preserve">3.2 Balancing Loops (price goes up → something pushes it back)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Loop B1: Demand Destruction</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Gas price rises → consumers reduce driving, carpool, use transit → gasoline demand falls → inventory drawdown slows → price pressure eases</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i/>
                <w:iCs/>
                <w:sz w:val="22"/>
                <w:szCs w:val="22"/>
              </w:rPr>
              <w:t xml:space="preserve">Kicks in gradually above ~$4.00/gal. Becomes dominant above ~$5.00. Short-run price elasticity of gasoline demand is approximately −0.02 to −0.05; long-run is −0.2 to −0.3.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Loop B2: SPR and Emergency Release</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Price crosses threshold (political trigger, ~$4.50+) → government releases strategic reserves → physical supply injected into market → crude price suppressed temporarily → but market knows it’s finite, so futures stay elevated, limiting the dampening effect</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i/>
                <w:iCs/>
                <w:sz w:val="22"/>
                <w:szCs w:val="22"/>
              </w:rPr>
              <w:t xml:space="preserve">One-shot or multi-week drawdown. IEA announced 400M barrel coordinated release on Mar 11, 2026.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Loop B3: Production Response</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Crude price rises → US shale producers accelerate drilling → new supply comes online → crude supply increases → price pressure eases. But lag is 8–16 weeks for shale, 6–12 months for conventional.</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i/>
                <w:iCs/>
                <w:sz w:val="22"/>
                <w:szCs w:val="22"/>
              </w:rPr>
              <w:t xml:space="preserve">Too slow to affect short-term crisis. Relevant only in the 12-week+ scenarios.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Loop B4: Substitution and Rerouting</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Strait closure → tankers reroute around Cape of Good Hope → supply partially restored (with 2–3 week delay and higher shipping costs) → effective supply loss is less than the Strait’s full throughput. Also: some industrial users switch from oil to natural gas where possible.</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i/>
                <w:iCs/>
                <w:sz w:val="22"/>
                <w:szCs w:val="22"/>
              </w:rPr>
              <w:t xml:space="preserve">Partially offsets the shock. Shipping cost adds ~$2–4/bbl to delivered crude.</w:t>
            </w:r>
          </w:p>
        </w:tc>
      </w:tr>
    </w:tbl>
    <w:p>
      <w:r>
        <w:br w:type="page"/>
      </w:r>
    </w:p>
    <w:p>
      <w:pPr>
        <w:pStyle w:val="Heading1"/>
      </w:pPr>
      <w:r>
        <w:t xml:space="preserve">4. Simulation Mechanics</w:t>
      </w:r>
    </w:p>
    <w:p>
      <w:pPr>
        <w:spacing w:after="80"/>
      </w:pPr>
    </w:p>
    <w:p>
      <w:pPr>
        <w:pStyle w:val="Heading2"/>
      </w:pPr>
      <w:r>
        <w:t xml:space="preserve">4.1 Time Step</w:t>
      </w:r>
    </w:p>
    <w:p>
      <w:pPr>
        <w:spacing w:after="160" w:line="300"/>
      </w:pPr>
      <w:r>
        <w:rPr>
          <w:sz w:val="22"/>
          <w:szCs w:val="22"/>
        </w:rPr>
        <w:t xml:space="preserve">The simulation advances in weekly increments. Each tick, all variables are updated simultaneously based on the prior state (synchronous update to avoid order-dependence). The simulation runs from Week 0 (Feb 28, 2026) through Week 30 (late September 2026).</w:t>
      </w:r>
    </w:p>
    <w:p>
      <w:pPr>
        <w:spacing w:after="80"/>
      </w:pPr>
    </w:p>
    <w:p>
      <w:pPr>
        <w:pStyle w:val="Heading2"/>
      </w:pPr>
      <w:r>
        <w:t xml:space="preserve">4.2 Crude Price Computation</w:t>
      </w:r>
    </w:p>
    <w:p>
      <w:pPr>
        <w:spacing w:after="160" w:line="300"/>
      </w:pPr>
      <w:r>
        <w:rPr>
          <w:sz w:val="22"/>
          <w:szCs w:val="22"/>
        </w:rPr>
        <w:t xml:space="preserve">Crude price is the core emergent variable. It is computed from a supply-demand balance plus a risk/speculation premium.</w:t>
      </w:r>
    </w:p>
    <w:p>
      <w:pPr>
        <w:spacing w:after="80"/>
      </w:pPr>
    </w:p>
    <w:p>
      <w:pPr>
        <w:spacing w:after="160" w:line="300"/>
      </w:pPr>
      <w:r>
        <w:rPr>
          <w:rFonts w:ascii="Courier New" w:cs="Courier New" w:eastAsia="Courier New" w:hAnsi="Courier New"/>
          <w:color w:val="6C3483"/>
          <w:sz w:val="20"/>
          <w:szCs w:val="20"/>
        </w:rPr>
        <w:t xml:space="preserve">crude_price[t] = base_price * (demand[t] / supply[t])^elasticity + risk_premium[t]</w:t>
      </w:r>
    </w:p>
    <w:p>
      <w:pPr>
        <w:spacing w:after="80"/>
      </w:pPr>
    </w:p>
    <w:p>
      <w:pPr>
        <w:spacing w:after="160" w:line="300"/>
      </w:pPr>
      <w:r>
        <w:rPr>
          <w:sz w:val="22"/>
          <w:szCs w:val="22"/>
        </w:rPr>
        <w:t xml:space="preserve">Where:</w:t>
      </w:r>
    </w:p>
    <w:p>
      <w:pPr>
        <w:pStyle w:val="ListParagraph"/>
        <w:numPr>
          <w:ilvl w:val="0"/>
          <w:numId w:val="2"/>
        </w:numPr>
        <w:spacing w:after="80" w:line="280"/>
      </w:pPr>
      <w:r>
        <w:rPr>
          <w:b/>
          <w:bCs/>
          <w:sz w:val="22"/>
          <w:szCs w:val="22"/>
        </w:rPr>
        <w:t xml:space="preserve">base_price</w:t>
      </w:r>
      <w:r>
        <w:rPr>
          <w:sz w:val="22"/>
          <w:szCs w:val="22"/>
        </w:rPr>
        <w:t xml:space="preserve"> = $67 (pre-conflict WTI)</w:t>
      </w:r>
    </w:p>
    <w:p>
      <w:pPr>
        <w:pStyle w:val="ListParagraph"/>
        <w:numPr>
          <w:ilvl w:val="0"/>
          <w:numId w:val="2"/>
        </w:numPr>
        <w:spacing w:after="80" w:line="280"/>
      </w:pPr>
      <w:r>
        <w:rPr>
          <w:b/>
          <w:bCs/>
          <w:sz w:val="22"/>
          <w:szCs w:val="22"/>
        </w:rPr>
        <w:t xml:space="preserve">demand[t] / supply[t]</w:t>
      </w:r>
      <w:r>
        <w:rPr>
          <w:sz w:val="22"/>
          <w:szCs w:val="22"/>
        </w:rPr>
        <w:t xml:space="preserve"> = the supply-demand ratio. When supply &lt; demand, price rises nonlinearly</w:t>
      </w:r>
    </w:p>
    <w:p>
      <w:pPr>
        <w:pStyle w:val="ListParagraph"/>
        <w:numPr>
          <w:ilvl w:val="0"/>
          <w:numId w:val="2"/>
        </w:numPr>
        <w:spacing w:after="80" w:line="280"/>
      </w:pPr>
      <w:r>
        <w:rPr>
          <w:b/>
          <w:bCs/>
          <w:sz w:val="22"/>
          <w:szCs w:val="22"/>
        </w:rPr>
        <w:t xml:space="preserve">elasticity</w:t>
      </w:r>
      <w:r>
        <w:rPr>
          <w:sz w:val="22"/>
          <w:szCs w:val="22"/>
        </w:rPr>
        <w:t xml:space="preserve"> = ~6–8 (crude oil has low short-run supply elasticity, so small imbalances cause large price swings)</w:t>
      </w:r>
    </w:p>
    <w:p>
      <w:pPr>
        <w:pStyle w:val="ListParagraph"/>
        <w:numPr>
          <w:ilvl w:val="0"/>
          <w:numId w:val="2"/>
        </w:numPr>
        <w:spacing w:after="80" w:line="280"/>
      </w:pPr>
      <w:r>
        <w:rPr>
          <w:b/>
          <w:bCs/>
          <w:sz w:val="22"/>
          <w:szCs w:val="22"/>
        </w:rPr>
        <w:t xml:space="preserve">risk_premium[t]</w:t>
      </w:r>
      <w:r>
        <w:rPr>
          <w:sz w:val="22"/>
          <w:szCs w:val="22"/>
        </w:rPr>
        <w:t xml:space="preserve"> = speculative premium, modeled as a function of Strait status and recent price momentum. Decays with time as markets adapt. Initial value ~$5–10/bbl, can spike to $20+ during acute escalation.</w:t>
      </w:r>
    </w:p>
    <w:p>
      <w:pPr>
        <w:spacing w:after="80"/>
      </w:pPr>
    </w:p>
    <w:p>
      <w:pPr>
        <w:pStyle w:val="Heading2"/>
      </w:pPr>
      <w:r>
        <w:t xml:space="preserve">4.3 Crack Spread Model</w:t>
      </w:r>
    </w:p>
    <w:p>
      <w:pPr>
        <w:spacing w:after="160" w:line="300"/>
      </w:pPr>
      <w:r>
        <w:rPr>
          <w:sz w:val="22"/>
          <w:szCs w:val="22"/>
        </w:rPr>
        <w:t xml:space="preserve">The crack spread (difference between refined product price and crude input cost) is not constant. It responds to:</w:t>
      </w:r>
    </w:p>
    <w:p>
      <w:pPr>
        <w:pStyle w:val="ListParagraph"/>
        <w:numPr>
          <w:ilvl w:val="0"/>
          <w:numId w:val="2"/>
        </w:numPr>
        <w:spacing w:after="80" w:line="280"/>
      </w:pPr>
      <w:r>
        <w:rPr>
          <w:b/>
          <w:bCs/>
          <w:sz w:val="22"/>
          <w:szCs w:val="22"/>
        </w:rPr>
        <w:t xml:space="preserve">Refinery utilization: </w:t>
      </w:r>
      <w:r>
        <w:rPr>
          <w:sz w:val="22"/>
          <w:szCs w:val="22"/>
        </w:rPr>
        <w:t xml:space="preserve">Below ~90% utilization, spreads narrow. Above 90%, they widen as capacity is constrained.</w:t>
      </w:r>
    </w:p>
    <w:p>
      <w:pPr>
        <w:pStyle w:val="ListParagraph"/>
        <w:numPr>
          <w:ilvl w:val="0"/>
          <w:numId w:val="2"/>
        </w:numPr>
        <w:spacing w:after="80" w:line="280"/>
      </w:pPr>
      <w:r>
        <w:rPr>
          <w:b/>
          <w:bCs/>
          <w:sz w:val="22"/>
          <w:szCs w:val="22"/>
        </w:rPr>
        <w:t xml:space="preserve">Seasonal schedule: </w:t>
      </w:r>
      <w:r>
        <w:rPr>
          <w:sz w:val="22"/>
          <w:szCs w:val="22"/>
        </w:rPr>
        <w:t xml:space="preserve">Spring maintenance (March–May) reduces effective capacity by 3–5%, creating a step-function tightening.</w:t>
      </w:r>
    </w:p>
    <w:p>
      <w:pPr>
        <w:pStyle w:val="ListParagraph"/>
        <w:numPr>
          <w:ilvl w:val="0"/>
          <w:numId w:val="2"/>
        </w:numPr>
        <w:spacing w:after="80" w:line="280"/>
      </w:pPr>
      <w:r>
        <w:rPr>
          <w:b/>
          <w:bCs/>
          <w:sz w:val="22"/>
          <w:szCs w:val="22"/>
        </w:rPr>
        <w:t xml:space="preserve">Crude price level: </w:t>
      </w:r>
      <w:r>
        <w:rPr>
          <w:sz w:val="22"/>
          <w:szCs w:val="22"/>
        </w:rPr>
        <w:t xml:space="preserve">At high crude prices, refineries have more pricing power. Modeled as a mild positive relationship.</w:t>
      </w:r>
    </w:p>
    <w:p>
      <w:pPr>
        <w:spacing w:after="80"/>
      </w:pPr>
    </w:p>
    <w:p>
      <w:pPr>
        <w:spacing w:after="160" w:line="300"/>
      </w:pPr>
      <w:r>
        <w:rPr>
          <w:rFonts w:ascii="Courier New" w:cs="Courier New" w:eastAsia="Courier New" w:hAnsi="Courier New"/>
          <w:color w:val="6C3483"/>
          <w:sz w:val="20"/>
          <w:szCs w:val="20"/>
        </w:rPr>
        <w:t xml:space="preserve">crack_spread[t] = base_spread * utilization_factor * seasonal_factor * (1 + 0.005 * max(0, crude_price[t] - 80))</w:t>
      </w:r>
    </w:p>
    <w:p>
      <w:pPr>
        <w:spacing w:after="80"/>
      </w:pPr>
    </w:p>
    <w:p>
      <w:pPr>
        <w:spacing w:after="160" w:line="300"/>
      </w:pPr>
      <w:r>
        <w:rPr>
          <w:sz w:val="22"/>
          <w:szCs w:val="22"/>
        </w:rPr>
        <w:t xml:space="preserve">Where </w:t>
      </w:r>
      <w:r>
        <w:rPr>
          <w:rFonts w:ascii="Courier New" w:cs="Courier New" w:eastAsia="Courier New" w:hAnsi="Courier New"/>
          <w:color w:val="6C3483"/>
          <w:sz w:val="20"/>
          <w:szCs w:val="20"/>
        </w:rPr>
        <w:t xml:space="preserve">base_spread</w:t>
      </w:r>
      <w:r>
        <w:rPr>
          <w:sz w:val="22"/>
          <w:szCs w:val="22"/>
        </w:rPr>
        <w:t xml:space="preserve"> = $18/bbl, </w:t>
      </w:r>
      <w:r>
        <w:rPr>
          <w:rFonts w:ascii="Courier New" w:cs="Courier New" w:eastAsia="Courier New" w:hAnsi="Courier New"/>
          <w:color w:val="6C3483"/>
          <w:sz w:val="20"/>
          <w:szCs w:val="20"/>
        </w:rPr>
        <w:t xml:space="preserve">utilization_factor</w:t>
      </w:r>
      <w:r>
        <w:rPr>
          <w:sz w:val="22"/>
          <w:szCs w:val="22"/>
        </w:rPr>
        <w:t xml:space="preserve"> = 1.0 at 87%, scaling to 1.4 at 95%+, and </w:t>
      </w:r>
      <w:r>
        <w:rPr>
          <w:rFonts w:ascii="Courier New" w:cs="Courier New" w:eastAsia="Courier New" w:hAnsi="Courier New"/>
          <w:color w:val="6C3483"/>
          <w:sz w:val="20"/>
          <w:szCs w:val="20"/>
        </w:rPr>
        <w:t xml:space="preserve">seasonal_factor</w:t>
      </w:r>
      <w:r>
        <w:rPr>
          <w:sz w:val="22"/>
          <w:szCs w:val="22"/>
        </w:rPr>
        <w:t xml:space="preserve"> = 1.15 during March–May maintenance window, 1.0 otherwise.</w:t>
      </w:r>
    </w:p>
    <w:p>
      <w:pPr>
        <w:spacing w:after="80"/>
      </w:pPr>
    </w:p>
    <w:p>
      <w:pPr>
        <w:pStyle w:val="Heading2"/>
      </w:pPr>
      <w:r>
        <w:t xml:space="preserve">4.4 Retail Gas Price</w:t>
      </w:r>
    </w:p>
    <w:p>
      <w:pPr>
        <w:spacing w:after="160" w:line="300"/>
      </w:pPr>
      <w:r>
        <w:rPr>
          <w:sz w:val="22"/>
          <w:szCs w:val="22"/>
        </w:rPr>
        <w:t xml:space="preserve">This is the headline output. It is not directly modeled from crude; it is assembled from components:</w:t>
      </w:r>
    </w:p>
    <w:p>
      <w:pPr>
        <w:spacing w:after="80"/>
      </w:pPr>
    </w:p>
    <w:p>
      <w:pPr>
        <w:spacing w:after="160" w:line="300"/>
      </w:pPr>
      <w:r>
        <w:rPr>
          <w:rFonts w:ascii="Courier New" w:cs="Courier New" w:eastAsia="Courier New" w:hAnsi="Courier New"/>
          <w:color w:val="6C3483"/>
          <w:sz w:val="20"/>
          <w:szCs w:val="20"/>
        </w:rPr>
        <w:t xml:space="preserve">gas_price[t] = (crude_price[t] + crack_spread[t]) / 42 + taxes + distribution + retailer_margin</w:t>
      </w:r>
    </w:p>
    <w:p>
      <w:pPr>
        <w:spacing w:after="80"/>
      </w:pPr>
    </w:p>
    <w:p>
      <w:pPr>
        <w:spacing w:after="160" w:line="300"/>
      </w:pPr>
      <w:r>
        <w:rPr>
          <w:sz w:val="22"/>
          <w:szCs w:val="22"/>
        </w:rPr>
        <w:t xml:space="preserve">Where:</w:t>
      </w:r>
    </w:p>
    <w:p>
      <w:pPr>
        <w:pStyle w:val="ListParagraph"/>
        <w:numPr>
          <w:ilvl w:val="0"/>
          <w:numId w:val="2"/>
        </w:numPr>
        <w:spacing w:after="80" w:line="280"/>
      </w:pPr>
      <w:r>
        <w:rPr>
          <w:rFonts w:ascii="Courier New" w:cs="Courier New" w:eastAsia="Courier New" w:hAnsi="Courier New"/>
          <w:color w:val="6C3483"/>
          <w:sz w:val="20"/>
          <w:szCs w:val="20"/>
        </w:rPr>
        <w:t xml:space="preserve">/42</w:t>
      </w:r>
      <w:r>
        <w:rPr>
          <w:sz w:val="22"/>
          <w:szCs w:val="22"/>
        </w:rPr>
        <w:t xml:space="preserve"> converts per-barrel to per-gallon (42 gallons per barrel)</w:t>
      </w:r>
    </w:p>
    <w:p>
      <w:pPr>
        <w:pStyle w:val="ListParagraph"/>
        <w:numPr>
          <w:ilvl w:val="0"/>
          <w:numId w:val="2"/>
        </w:numPr>
        <w:spacing w:after="80" w:line="280"/>
      </w:pPr>
      <w:r>
        <w:rPr>
          <w:rFonts w:ascii="Courier New" w:cs="Courier New" w:eastAsia="Courier New" w:hAnsi="Courier New"/>
          <w:color w:val="6C3483"/>
          <w:sz w:val="20"/>
          <w:szCs w:val="20"/>
        </w:rPr>
        <w:t xml:space="preserve">taxes</w:t>
      </w:r>
      <w:r>
        <w:rPr>
          <w:sz w:val="22"/>
          <w:szCs w:val="22"/>
        </w:rPr>
        <w:t xml:space="preserve"> = $0.55/gal average (federal $0.184 + avg state $0.37)</w:t>
      </w:r>
    </w:p>
    <w:p>
      <w:pPr>
        <w:pStyle w:val="ListParagraph"/>
        <w:numPr>
          <w:ilvl w:val="0"/>
          <w:numId w:val="2"/>
        </w:numPr>
        <w:spacing w:after="80" w:line="280"/>
      </w:pPr>
      <w:r>
        <w:rPr>
          <w:rFonts w:ascii="Courier New" w:cs="Courier New" w:eastAsia="Courier New" w:hAnsi="Courier New"/>
          <w:color w:val="6C3483"/>
          <w:sz w:val="20"/>
          <w:szCs w:val="20"/>
        </w:rPr>
        <w:t xml:space="preserve">distribution</w:t>
      </w:r>
      <w:r>
        <w:rPr>
          <w:sz w:val="22"/>
          <w:szCs w:val="22"/>
        </w:rPr>
        <w:t xml:space="preserve"> = $0.15/gal baseline, +$0.02–0.05 during supply stress</w:t>
      </w:r>
    </w:p>
    <w:p>
      <w:pPr>
        <w:pStyle w:val="ListParagraph"/>
        <w:numPr>
          <w:ilvl w:val="0"/>
          <w:numId w:val="2"/>
        </w:numPr>
        <w:spacing w:after="80" w:line="280"/>
      </w:pPr>
      <w:r>
        <w:rPr>
          <w:b/>
          <w:bCs/>
          <w:sz w:val="22"/>
          <w:szCs w:val="22"/>
        </w:rPr>
        <w:t xml:space="preserve">retailer_margin</w:t>
      </w:r>
      <w:r>
        <w:rPr>
          <w:sz w:val="22"/>
          <w:szCs w:val="22"/>
        </w:rPr>
        <w:t xml:space="preserve"> = $0.05–0.15/gal with asymmetry: rises fast, falls slow. Modeled with a ratchet function where upward adjustments happen within 1 week but downward adjustments have a 2–4 week half-life.</w:t>
      </w:r>
    </w:p>
    <w:p>
      <w:pPr>
        <w:spacing w:after="80"/>
      </w:pPr>
    </w:p>
    <w:p>
      <w:pPr>
        <w:pStyle w:val="Heading2"/>
      </w:pPr>
      <w:r>
        <w:t xml:space="preserve">4.5 Demand Destruction</w:t>
      </w:r>
    </w:p>
    <w:p>
      <w:pPr>
        <w:spacing w:after="160" w:line="300"/>
      </w:pPr>
      <w:r>
        <w:rPr>
          <w:sz w:val="22"/>
          <w:szCs w:val="22"/>
        </w:rPr>
        <w:t xml:space="preserve">Consumer demand responds to price with a delay and asymmetrically (people reduce driving when prices spike, but don’t immediately increase when prices drop).</w:t>
      </w:r>
    </w:p>
    <w:p>
      <w:pPr>
        <w:spacing w:after="80"/>
      </w:pPr>
    </w:p>
    <w:p>
      <w:pPr>
        <w:spacing w:after="160" w:line="300"/>
      </w:pPr>
      <w:r>
        <w:rPr>
          <w:rFonts w:ascii="Courier New" w:cs="Courier New" w:eastAsia="Courier New" w:hAnsi="Courier New"/>
          <w:color w:val="6C3483"/>
          <w:sz w:val="20"/>
          <w:szCs w:val="20"/>
        </w:rPr>
        <w:t xml:space="preserve">demand_modifier[t] = 1 + elasticity * ln(gas_price[t] / reference_price)</w:t>
      </w:r>
    </w:p>
    <w:p>
      <w:pPr>
        <w:spacing w:after="80"/>
      </w:pPr>
    </w:p>
    <w:p>
      <w:pPr>
        <w:spacing w:after="160" w:line="300"/>
      </w:pPr>
      <w:r>
        <w:rPr>
          <w:sz w:val="22"/>
          <w:szCs w:val="22"/>
        </w:rPr>
        <w:t xml:space="preserve">Short-run elasticity is approximately −0.03 (a 10% price increase reduces demand by ~0.3%). This is very low, which is why gas prices can spike so far before demand destruction bites. The effect becomes meaningful above ~$4.50/gal and dominant above ~$5.50.</w:t>
      </w:r>
    </w:p>
    <w:p>
      <w:pPr>
        <w:spacing w:after="80"/>
      </w:pPr>
    </w:p>
    <w:p>
      <w:pPr>
        <w:pStyle w:val="Heading2"/>
      </w:pPr>
      <w:r>
        <w:t xml:space="preserve">4.6 Gasoline Inventory Buffer</w:t>
      </w:r>
    </w:p>
    <w:p>
      <w:pPr>
        <w:spacing w:after="160" w:line="300"/>
      </w:pPr>
      <w:r>
        <w:rPr>
          <w:sz w:val="22"/>
          <w:szCs w:val="22"/>
        </w:rPr>
        <w:t xml:space="preserve">Inventory is the critical buffer that determines how fast crude moves reach the pump. High inventory insulates pump prices from crude spikes (the “cushion”). Low inventory amplifies them.</w:t>
      </w:r>
    </w:p>
    <w:p>
      <w:pPr>
        <w:spacing w:after="80"/>
      </w:pPr>
    </w:p>
    <w:p>
      <w:pPr>
        <w:spacing w:after="160" w:line="300"/>
      </w:pPr>
      <w:r>
        <w:rPr>
          <w:rFonts w:ascii="Courier New" w:cs="Courier New" w:eastAsia="Courier New" w:hAnsi="Courier New"/>
          <w:color w:val="6C3483"/>
          <w:sz w:val="20"/>
          <w:szCs w:val="20"/>
        </w:rPr>
        <w:t xml:space="preserve">inventory[t] = inventory[t-1] + refinery_output[t] - consumption[t] - exports[t]</w:t>
      </w:r>
    </w:p>
    <w:p>
      <w:pPr>
        <w:spacing w:after="80"/>
      </w:pPr>
    </w:p>
    <w:p>
      <w:pPr>
        <w:spacing w:after="160" w:line="300"/>
      </w:pPr>
      <w:r>
        <w:rPr>
          <w:rFonts w:ascii="Courier New" w:cs="Courier New" w:eastAsia="Courier New" w:hAnsi="Courier New"/>
          <w:color w:val="6C3483"/>
          <w:sz w:val="20"/>
          <w:szCs w:val="20"/>
        </w:rPr>
        <w:t xml:space="preserve">inventory_pressure[t] = (avg_inventory - inventory[t]) / avg_inventory</w:t>
      </w:r>
    </w:p>
    <w:p>
      <w:pPr>
        <w:spacing w:after="80"/>
      </w:pPr>
    </w:p>
    <w:p>
      <w:pPr>
        <w:spacing w:after="160" w:line="300"/>
      </w:pPr>
      <w:r>
        <w:rPr>
          <w:sz w:val="22"/>
          <w:szCs w:val="22"/>
        </w:rPr>
        <w:t xml:space="preserve">When inventory is below average, inventory_pressure is positive and accelerates the pass-through of crude price changes to retail. When above average, it dampens it. This is the mechanism that explains why the same $10/bbl crude increase can have different pump impacts depending on the inventory state.</w:t>
      </w:r>
    </w:p>
    <w:p>
      <w:r>
        <w:br w:type="page"/>
      </w:r>
    </w:p>
    <w:p>
      <w:pPr>
        <w:pStyle w:val="Heading1"/>
      </w:pPr>
      <w:r>
        <w:t xml:space="preserve">5. Uncertainty Model</w:t>
      </w:r>
    </w:p>
    <w:p>
      <w:pPr>
        <w:spacing w:after="80"/>
      </w:pPr>
    </w:p>
    <w:p>
      <w:pPr>
        <w:spacing w:after="160" w:line="300"/>
      </w:pPr>
      <w:r>
        <w:rPr>
          <w:sz w:val="22"/>
          <w:szCs w:val="22"/>
        </w:rPr>
        <w:t xml:space="preserve">One of the biggest failures of the linear model was that it produced single lines that looked like predictions. The simulation must produce uncertainty envelopes instead.</w:t>
      </w:r>
    </w:p>
    <w:p>
      <w:pPr>
        <w:spacing w:after="80"/>
      </w:pPr>
    </w:p>
    <w:p>
      <w:pPr>
        <w:pStyle w:val="Heading2"/>
      </w:pPr>
      <w:r>
        <w:t xml:space="preserve">5.1 Monte Carlo Layer</w:t>
      </w:r>
    </w:p>
    <w:p>
      <w:pPr>
        <w:spacing w:after="160" w:line="300"/>
      </w:pPr>
      <w:r>
        <w:rPr>
          <w:sz w:val="22"/>
          <w:szCs w:val="22"/>
        </w:rPr>
        <w:t xml:space="preserve">For each time step, key parameters are sampled from distributions rather than fixed values:</w:t>
      </w:r>
    </w:p>
    <w:p>
      <w:pPr>
        <w:spacing w:after="80"/>
      </w:pPr>
    </w:p>
    <w:p>
      <w:pPr>
        <w:pStyle w:val="ListParagraph"/>
        <w:numPr>
          <w:ilvl w:val="0"/>
          <w:numId w:val="2"/>
        </w:numPr>
        <w:spacing w:after="80" w:line="280"/>
      </w:pPr>
      <w:r>
        <w:rPr>
          <w:b/>
          <w:bCs/>
          <w:sz w:val="22"/>
          <w:szCs w:val="22"/>
        </w:rPr>
        <w:t xml:space="preserve">Risk premium: </w:t>
      </w:r>
      <w:r>
        <w:rPr>
          <w:sz w:val="22"/>
          <w:szCs w:val="22"/>
        </w:rPr>
        <w:t xml:space="preserve">Normal distribution, mean based on Strait status, σ = $5–8/bbl</w:t>
      </w:r>
    </w:p>
    <w:p>
      <w:pPr>
        <w:pStyle w:val="ListParagraph"/>
        <w:numPr>
          <w:ilvl w:val="0"/>
          <w:numId w:val="2"/>
        </w:numPr>
        <w:spacing w:after="80" w:line="280"/>
      </w:pPr>
      <w:r>
        <w:rPr>
          <w:b/>
          <w:bCs/>
          <w:sz w:val="22"/>
          <w:szCs w:val="22"/>
        </w:rPr>
        <w:t xml:space="preserve">Demand elasticity: </w:t>
      </w:r>
      <w:r>
        <w:rPr>
          <w:sz w:val="22"/>
          <w:szCs w:val="22"/>
        </w:rPr>
        <w:t xml:space="preserve">Uniform [−0.05, −0.02]</w:t>
      </w:r>
    </w:p>
    <w:p>
      <w:pPr>
        <w:pStyle w:val="ListParagraph"/>
        <w:numPr>
          <w:ilvl w:val="0"/>
          <w:numId w:val="2"/>
        </w:numPr>
        <w:spacing w:after="80" w:line="280"/>
      </w:pPr>
      <w:r>
        <w:rPr>
          <w:b/>
          <w:bCs/>
          <w:sz w:val="22"/>
          <w:szCs w:val="22"/>
        </w:rPr>
        <w:t xml:space="preserve">Crack spread base: </w:t>
      </w:r>
      <w:r>
        <w:rPr>
          <w:sz w:val="22"/>
          <w:szCs w:val="22"/>
        </w:rPr>
        <w:t xml:space="preserve">Normal, mean $18, σ = $3</w:t>
      </w:r>
    </w:p>
    <w:p>
      <w:pPr>
        <w:pStyle w:val="ListParagraph"/>
        <w:numPr>
          <w:ilvl w:val="0"/>
          <w:numId w:val="2"/>
        </w:numPr>
        <w:spacing w:after="80" w:line="280"/>
      </w:pPr>
      <w:r>
        <w:rPr>
          <w:b/>
          <w:bCs/>
          <w:sz w:val="22"/>
          <w:szCs w:val="22"/>
        </w:rPr>
        <w:t xml:space="preserve">Retailer margin ratchet speed: </w:t>
      </w:r>
      <w:r>
        <w:rPr>
          <w:sz w:val="22"/>
          <w:szCs w:val="22"/>
        </w:rPr>
        <w:t xml:space="preserve">Uniform [1, 4] weeks downward half-life</w:t>
      </w:r>
    </w:p>
    <w:p>
      <w:pPr>
        <w:pStyle w:val="ListParagraph"/>
        <w:numPr>
          <w:ilvl w:val="0"/>
          <w:numId w:val="2"/>
        </w:numPr>
        <w:spacing w:after="80" w:line="280"/>
      </w:pPr>
      <w:r>
        <w:rPr>
          <w:b/>
          <w:bCs/>
          <w:sz w:val="22"/>
          <w:szCs w:val="22"/>
        </w:rPr>
        <w:t xml:space="preserve">SPR release timing: </w:t>
      </w:r>
      <w:r>
        <w:rPr>
          <w:sz w:val="22"/>
          <w:szCs w:val="22"/>
        </w:rPr>
        <w:t xml:space="preserve">Triggered probabilistically at price thresholds</w:t>
      </w:r>
    </w:p>
    <w:p>
      <w:pPr>
        <w:spacing w:after="80"/>
      </w:pPr>
    </w:p>
    <w:p>
      <w:pPr>
        <w:spacing w:after="160" w:line="300"/>
      </w:pPr>
      <w:r>
        <w:rPr>
          <w:sz w:val="22"/>
          <w:szCs w:val="22"/>
        </w:rPr>
        <w:t xml:space="preserve">Run 200–500 simulations per configuration to generate percentile bands (10th, 25th, median, 75th, 90th). Display as a shaded cone that widens over time.</w:t>
      </w:r>
    </w:p>
    <w:p>
      <w:pPr>
        <w:spacing w:after="80"/>
      </w:pPr>
    </w:p>
    <w:p>
      <w:pPr>
        <w:pStyle w:val="Heading2"/>
      </w:pPr>
      <w:r>
        <w:t xml:space="preserve">5.2 Sensitivity Indicator</w:t>
      </w:r>
    </w:p>
    <w:p>
      <w:pPr>
        <w:spacing w:after="160" w:line="300"/>
      </w:pPr>
      <w:r>
        <w:rPr>
          <w:sz w:val="22"/>
          <w:szCs w:val="22"/>
        </w:rPr>
        <w:t xml:space="preserve">At each time step, compute which variable has the highest sensitivity coefficient (partial derivative of gas price with respect to each input). Display this as a small annotation or color-coded indicator showing what’s driving the uncertainty at that point in time. Early in a shock it’s crude supply; mid-crisis it’s crack spread and inventories; late-crisis it’s demand destruction.</w:t>
      </w:r>
    </w:p>
    <w:p>
      <w:r>
        <w:br w:type="page"/>
      </w:r>
    </w:p>
    <w:p>
      <w:pPr>
        <w:pStyle w:val="Heading1"/>
      </w:pPr>
      <w:r>
        <w:t xml:space="preserve">6. User Interface</w:t>
      </w:r>
    </w:p>
    <w:p>
      <w:pPr>
        <w:spacing w:after="80"/>
      </w:pPr>
    </w:p>
    <w:p>
      <w:pPr>
        <w:spacing w:after="160" w:line="300"/>
      </w:pPr>
      <w:r>
        <w:rPr>
          <w:sz w:val="22"/>
          <w:szCs w:val="22"/>
        </w:rPr>
        <w:t xml:space="preserve">The application is a single-page React app. Layout has three panels: controls (left), main chart (center), and system state (right). Dark theme consistent with the existing chart aesthetic.</w:t>
      </w:r>
    </w:p>
    <w:p>
      <w:pPr>
        <w:spacing w:after="80"/>
      </w:pPr>
    </w:p>
    <w:p>
      <w:pPr>
        <w:pStyle w:val="Heading2"/>
      </w:pPr>
      <w:r>
        <w:t xml:space="preserve">6.1 Control Panel (Left)</w:t>
      </w:r>
    </w:p>
    <w:p>
      <w:pPr>
        <w:spacing w:after="160" w:line="300"/>
      </w:pPr>
      <w:r>
        <w:rPr>
          <w:sz w:val="22"/>
          <w:szCs w:val="22"/>
        </w:rPr>
        <w:t xml:space="preserve">Sliders and toggles for user assumptions. These are the exogenous inputs the user manipulates.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Range</w:t>
            </w:r>
          </w:p>
        </w:tc>
        <w:tc>
          <w:tcPr>
            <w:tcW w:type="dxa" w:w="25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Strait throughput</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Slider</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0–100%</w:t>
            </w:r>
          </w:p>
        </w:tc>
        <w:tc>
          <w:tcPr>
            <w:tcW w:type="dxa" w:w="2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0% (closed)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Reopening week</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Slider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2–30 (or never)</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Never</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Reopening speed</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Toggle</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Sudden / Gradual</w:t>
            </w:r>
          </w:p>
        </w:tc>
        <w:tc>
          <w:tcPr>
            <w:tcW w:type="dxa" w:w="2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Gradual</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OPEC+ response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Slider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−1 to +2 mbd</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0 (unchanged)</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SPR release</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Toggle + slider</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0–400M bbl over weeks</w:t>
            </w:r>
          </w:p>
        </w:tc>
        <w:tc>
          <w:tcPr>
            <w:tcW w:type="dxa" w:w="2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400M (IEA plan)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Seasonal maintenance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Toggle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On/Off</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On</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Demand elasticity</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Slider</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−0.01 to −0.08</w:t>
            </w:r>
          </w:p>
        </w:tc>
        <w:tc>
          <w:tcPr>
            <w:tcW w:type="dxa" w:w="2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−0.03</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Scenario presets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Buttons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4 presets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bl>
    <w:p>
      <w:pPr>
        <w:spacing w:after="80"/>
      </w:pPr>
    </w:p>
    <w:p>
      <w:pPr>
        <w:spacing w:after="160" w:line="300"/>
      </w:pPr>
      <w:r>
        <w:rPr>
          <w:b/>
          <w:bCs/>
          <w:sz w:val="22"/>
          <w:szCs w:val="22"/>
        </w:rPr>
        <w:t xml:space="preserve">Scenario presets</w:t>
      </w:r>
      <w:r>
        <w:rPr>
          <w:sz w:val="22"/>
          <w:szCs w:val="22"/>
        </w:rPr>
        <w:t xml:space="preserve"> map to the four scenarios from our earlier model (2-week, 6-week, 12-week, indefinite) and auto-configure all sliders to reasonable assumptions for each. The user can then tweak individual parameters from the preset.</w:t>
      </w:r>
    </w:p>
    <w:p>
      <w:pPr>
        <w:spacing w:after="80"/>
      </w:pPr>
    </w:p>
    <w:p>
      <w:pPr>
        <w:pStyle w:val="Heading2"/>
      </w:pPr>
      <w:r>
        <w:t xml:space="preserve">6.2 Main Chart Panel (Center)</w:t>
      </w:r>
    </w:p>
    <w:p>
      <w:pPr>
        <w:spacing w:after="160" w:line="300"/>
      </w:pPr>
      <w:r>
        <w:rPr>
          <w:sz w:val="22"/>
          <w:szCs w:val="22"/>
        </w:rPr>
        <w:t xml:space="preserve">The primary visualization. A time-series chart from Week 0 (Feb 28) through Week 30, showing:</w:t>
      </w:r>
    </w:p>
    <w:p>
      <w:pPr>
        <w:spacing w:after="80"/>
      </w:pPr>
    </w:p>
    <w:p>
      <w:pPr>
        <w:pStyle w:val="ListParagraph"/>
        <w:numPr>
          <w:ilvl w:val="0"/>
          <w:numId w:val="2"/>
        </w:numPr>
        <w:spacing w:after="80" w:line="280"/>
      </w:pPr>
      <w:r>
        <w:rPr>
          <w:b/>
          <w:bCs/>
          <w:sz w:val="22"/>
          <w:szCs w:val="22"/>
        </w:rPr>
        <w:t xml:space="preserve">Gas price cone: </w:t>
      </w:r>
      <w:r>
        <w:rPr>
          <w:sz w:val="22"/>
          <w:szCs w:val="22"/>
        </w:rPr>
        <w:t xml:space="preserve">Shaded area from 10th to 90th percentile of Monte Carlo runs, with the median as a solid line. Darker shading for 25th–75th interquartile range.</w:t>
      </w:r>
    </w:p>
    <w:p>
      <w:pPr>
        <w:pStyle w:val="ListParagraph"/>
        <w:numPr>
          <w:ilvl w:val="0"/>
          <w:numId w:val="2"/>
        </w:numPr>
        <w:spacing w:after="80" w:line="280"/>
      </w:pPr>
      <w:r>
        <w:rPr>
          <w:b/>
          <w:bCs/>
          <w:sz w:val="22"/>
          <w:szCs w:val="22"/>
        </w:rPr>
        <w:t xml:space="preserve">Observed data overlay: </w:t>
      </w:r>
      <w:r>
        <w:rPr>
          <w:sz w:val="22"/>
          <w:szCs w:val="22"/>
        </w:rPr>
        <w:t xml:space="preserve">Solid dots for real AAA prices through today ($2.98 → $3.25 → $3.60). The model must pass through these points.</w:t>
      </w:r>
    </w:p>
    <w:p>
      <w:pPr>
        <w:pStyle w:val="ListParagraph"/>
        <w:numPr>
          <w:ilvl w:val="0"/>
          <w:numId w:val="2"/>
        </w:numPr>
        <w:spacing w:after="80" w:line="280"/>
      </w:pPr>
      <w:r>
        <w:rPr>
          <w:b/>
          <w:bCs/>
          <w:sz w:val="22"/>
          <w:szCs w:val="22"/>
        </w:rPr>
        <w:t xml:space="preserve">Reference lines: </w:t>
      </w:r>
      <w:r>
        <w:rPr>
          <w:sz w:val="22"/>
          <w:szCs w:val="22"/>
        </w:rPr>
        <w:t xml:space="preserve">All-time record ($5.02), current price ($3.60), pre-conflict ($2.98).</w:t>
      </w:r>
    </w:p>
    <w:p>
      <w:pPr>
        <w:pStyle w:val="ListParagraph"/>
        <w:numPr>
          <w:ilvl w:val="0"/>
          <w:numId w:val="2"/>
        </w:numPr>
        <w:spacing w:after="80" w:line="280"/>
      </w:pPr>
      <w:r>
        <w:rPr>
          <w:b/>
          <w:bCs/>
          <w:sz w:val="22"/>
          <w:szCs w:val="22"/>
        </w:rPr>
        <w:t xml:space="preserve">Sensitivity color strip: </w:t>
      </w:r>
      <w:r>
        <w:rPr>
          <w:sz w:val="22"/>
          <w:szCs w:val="22"/>
        </w:rPr>
        <w:t xml:space="preserve">A thin horizontal bar below the x-axis, color-coded by the dominant driver at each time step (e.g., blue = crude supply, orange = crack spread, red = demand destruction, green = SPR).</w:t>
      </w:r>
    </w:p>
    <w:p>
      <w:pPr>
        <w:spacing w:after="80"/>
      </w:pPr>
    </w:p>
    <w:p>
      <w:pPr>
        <w:pStyle w:val="Heading2"/>
      </w:pPr>
      <w:r>
        <w:t xml:space="preserve">6.3 System State Panel (Right)</w:t>
      </w:r>
    </w:p>
    <w:p>
      <w:pPr>
        <w:spacing w:after="160" w:line="300"/>
      </w:pPr>
      <w:r>
        <w:rPr>
          <w:sz w:val="22"/>
          <w:szCs w:val="22"/>
        </w:rPr>
        <w:t xml:space="preserve">A compact dashboard showing the current state of all 12 variables at the selected time step (scrubber on the main chart). Includes:</w:t>
      </w:r>
    </w:p>
    <w:p>
      <w:pPr>
        <w:spacing w:after="80"/>
      </w:pPr>
    </w:p>
    <w:p>
      <w:pPr>
        <w:pStyle w:val="ListParagraph"/>
        <w:numPr>
          <w:ilvl w:val="0"/>
          <w:numId w:val="2"/>
        </w:numPr>
        <w:spacing w:after="80" w:line="280"/>
      </w:pPr>
      <w:r>
        <w:rPr>
          <w:b/>
          <w:bCs/>
          <w:sz w:val="22"/>
          <w:szCs w:val="22"/>
        </w:rPr>
        <w:t xml:space="preserve">Variable values: </w:t>
      </w:r>
      <w:r>
        <w:rPr>
          <w:sz w:val="22"/>
          <w:szCs w:val="22"/>
        </w:rPr>
        <w:t xml:space="preserve">Current value, with trend arrow and sparkline.</w:t>
      </w:r>
    </w:p>
    <w:p>
      <w:pPr>
        <w:pStyle w:val="ListParagraph"/>
        <w:numPr>
          <w:ilvl w:val="0"/>
          <w:numId w:val="2"/>
        </w:numPr>
        <w:spacing w:after="80" w:line="280"/>
      </w:pPr>
      <w:r>
        <w:rPr>
          <w:b/>
          <w:bCs/>
          <w:sz w:val="22"/>
          <w:szCs w:val="22"/>
        </w:rPr>
        <w:t xml:space="preserve">Feedback loop indicator: </w:t>
      </w:r>
      <w:r>
        <w:rPr>
          <w:sz w:val="22"/>
          <w:szCs w:val="22"/>
        </w:rPr>
        <w:t xml:space="preserve">Shows which loops (R1, R2, R3, B1–B4) are currently active/dominant, as a small network graph or just highlighted labels.</w:t>
      </w:r>
    </w:p>
    <w:p>
      <w:pPr>
        <w:pStyle w:val="ListParagraph"/>
        <w:numPr>
          <w:ilvl w:val="0"/>
          <w:numId w:val="2"/>
        </w:numPr>
        <w:spacing w:after="80" w:line="280"/>
      </w:pPr>
      <w:r>
        <w:rPr>
          <w:b/>
          <w:bCs/>
          <w:sz w:val="22"/>
          <w:szCs w:val="22"/>
        </w:rPr>
        <w:t xml:space="preserve">Supply-demand balance gauge: </w:t>
      </w:r>
      <w:r>
        <w:rPr>
          <w:sz w:val="22"/>
          <w:szCs w:val="22"/>
        </w:rPr>
        <w:t xml:space="preserve">Visual indicator of whether the market is in surplus or deficit.</w:t>
      </w:r>
    </w:p>
    <w:p>
      <w:pPr>
        <w:spacing w:after="80"/>
      </w:pPr>
    </w:p>
    <w:p>
      <w:pPr>
        <w:pStyle w:val="Heading2"/>
      </w:pPr>
      <w:r>
        <w:t xml:space="preserve">6.4 Crude Oil Sub-Chart</w:t>
      </w:r>
    </w:p>
    <w:p>
      <w:pPr>
        <w:spacing w:after="160" w:line="300"/>
      </w:pPr>
      <w:r>
        <w:rPr>
          <w:sz w:val="22"/>
          <w:szCs w:val="22"/>
        </w:rPr>
        <w:t xml:space="preserve">A smaller chart below or overlaid (togglable) showing the implied crude oil trajectory for the current configuration. This makes the model’s crude assumptions transparent, since one of the failures of the earlier model was hiding them.</w:t>
      </w:r>
    </w:p>
    <w:p>
      <w:r>
        <w:br w:type="page"/>
      </w:r>
    </w:p>
    <w:p>
      <w:pPr>
        <w:pStyle w:val="Heading1"/>
      </w:pPr>
      <w:r>
        <w:t xml:space="preserve">7. Technical Architecture</w:t>
      </w:r>
    </w:p>
    <w:p>
      <w:pPr>
        <w:spacing w:after="80"/>
      </w:pPr>
    </w:p>
    <w:p>
      <w:pPr>
        <w:pStyle w:val="Heading2"/>
      </w:pPr>
      <w:r>
        <w:t xml:space="preserve">7.1 Project Structure</w:t>
      </w:r>
    </w:p>
    <w:p>
      <w:pPr>
        <w:spacing w:after="80"/>
      </w:pPr>
    </w:p>
    <w:p>
      <w:pPr>
        <w:spacing w:after="160" w:line="300"/>
      </w:pPr>
      <w:r>
        <w:rPr>
          <w:rFonts w:ascii="Courier New" w:cs="Courier New" w:eastAsia="Courier New" w:hAnsi="Courier New"/>
          <w:color w:val="6C3483"/>
          <w:sz w:val="20"/>
          <w:szCs w:val="20"/>
        </w:rPr>
        <w:t xml:space="preserve">gas-sim/</w:t>
      </w:r>
    </w:p>
    <w:p>
      <w:pPr>
        <w:spacing w:after="160" w:line="300"/>
      </w:pPr>
      <w:r>
        <w:rPr>
          <w:rFonts w:ascii="Courier New" w:cs="Courier New" w:eastAsia="Courier New" w:hAnsi="Courier New"/>
          <w:color w:val="6C3483"/>
          <w:sz w:val="20"/>
          <w:szCs w:val="20"/>
        </w:rPr>
        <w:t xml:space="preserve">  src/</w:t>
      </w:r>
    </w:p>
    <w:p>
      <w:pPr>
        <w:spacing w:after="160" w:line="300"/>
      </w:pPr>
      <w:r>
        <w:rPr>
          <w:rFonts w:ascii="Courier New" w:cs="Courier New" w:eastAsia="Courier New" w:hAnsi="Courier New"/>
          <w:color w:val="6C3483"/>
          <w:sz w:val="20"/>
          <w:szCs w:val="20"/>
        </w:rPr>
        <w:t xml:space="preserve">    simulation/</w:t>
      </w:r>
    </w:p>
    <w:p>
      <w:pPr>
        <w:spacing w:after="160" w:line="300"/>
      </w:pPr>
      <w:r>
        <w:rPr>
          <w:rFonts w:ascii="Courier New" w:cs="Courier New" w:eastAsia="Courier New" w:hAnsi="Courier New"/>
          <w:color w:val="6C3483"/>
          <w:sz w:val="20"/>
          <w:szCs w:val="20"/>
        </w:rPr>
        <w:t xml:space="preserve">      engine.ts          — Core simulation loop (synchronous update)</w:t>
      </w:r>
    </w:p>
    <w:p>
      <w:pPr>
        <w:spacing w:after="160" w:line="300"/>
      </w:pPr>
      <w:r>
        <w:rPr>
          <w:rFonts w:ascii="Courier New" w:cs="Courier New" w:eastAsia="Courier New" w:hAnsi="Courier New"/>
          <w:color w:val="6C3483"/>
          <w:sz w:val="20"/>
          <w:szCs w:val="20"/>
        </w:rPr>
        <w:t xml:space="preserve">      variables.ts       — Variable definitions, initial values, ranges</w:t>
      </w:r>
    </w:p>
    <w:p>
      <w:pPr>
        <w:spacing w:after="160" w:line="300"/>
      </w:pPr>
      <w:r>
        <w:rPr>
          <w:rFonts w:ascii="Courier New" w:cs="Courier New" w:eastAsia="Courier New" w:hAnsi="Courier New"/>
          <w:color w:val="6C3483"/>
          <w:sz w:val="20"/>
          <w:szCs w:val="20"/>
        </w:rPr>
        <w:t xml:space="preserve">      feedback-loops.ts  — Loop definitions and dominance computation</w:t>
      </w:r>
    </w:p>
    <w:p>
      <w:pPr>
        <w:spacing w:after="160" w:line="300"/>
      </w:pPr>
      <w:r>
        <w:rPr>
          <w:rFonts w:ascii="Courier New" w:cs="Courier New" w:eastAsia="Courier New" w:hAnsi="Courier New"/>
          <w:color w:val="6C3483"/>
          <w:sz w:val="20"/>
          <w:szCs w:val="20"/>
        </w:rPr>
        <w:t xml:space="preserve">      monte-carlo.ts     — Parameter sampling and batch simulation runner</w:t>
      </w:r>
    </w:p>
    <w:p>
      <w:pPr>
        <w:spacing w:after="160" w:line="300"/>
      </w:pPr>
      <w:r>
        <w:rPr>
          <w:rFonts w:ascii="Courier New" w:cs="Courier New" w:eastAsia="Courier New" w:hAnsi="Courier New"/>
          <w:color w:val="6C3483"/>
          <w:sz w:val="20"/>
          <w:szCs w:val="20"/>
        </w:rPr>
        <w:t xml:space="preserve">      calibration.ts     — Observed data anchoring (AAA prices)</w:t>
      </w:r>
    </w:p>
    <w:p>
      <w:pPr>
        <w:spacing w:after="160" w:line="300"/>
      </w:pPr>
      <w:r>
        <w:rPr>
          <w:rFonts w:ascii="Courier New" w:cs="Courier New" w:eastAsia="Courier New" w:hAnsi="Courier New"/>
          <w:color w:val="6C3483"/>
          <w:sz w:val="20"/>
          <w:szCs w:val="20"/>
        </w:rPr>
        <w:t xml:space="preserve">    ui/</w:t>
      </w:r>
    </w:p>
    <w:p>
      <w:pPr>
        <w:spacing w:after="160" w:line="300"/>
      </w:pPr>
      <w:r>
        <w:rPr>
          <w:rFonts w:ascii="Courier New" w:cs="Courier New" w:eastAsia="Courier New" w:hAnsi="Courier New"/>
          <w:color w:val="6C3483"/>
          <w:sz w:val="20"/>
          <w:szCs w:val="20"/>
        </w:rPr>
        <w:t xml:space="preserve">      App.tsx            — Layout and state management</w:t>
      </w:r>
    </w:p>
    <w:p>
      <w:pPr>
        <w:spacing w:after="160" w:line="300"/>
      </w:pPr>
      <w:r>
        <w:rPr>
          <w:rFonts w:ascii="Courier New" w:cs="Courier New" w:eastAsia="Courier New" w:hAnsi="Courier New"/>
          <w:color w:val="6C3483"/>
          <w:sz w:val="20"/>
          <w:szCs w:val="20"/>
        </w:rPr>
        <w:t xml:space="preserve">      ControlPanel.tsx   — Sliders, toggles, presets</w:t>
      </w:r>
    </w:p>
    <w:p>
      <w:pPr>
        <w:spacing w:after="160" w:line="300"/>
      </w:pPr>
      <w:r>
        <w:rPr>
          <w:rFonts w:ascii="Courier New" w:cs="Courier New" w:eastAsia="Courier New" w:hAnsi="Courier New"/>
          <w:color w:val="6C3483"/>
          <w:sz w:val="20"/>
          <w:szCs w:val="20"/>
        </w:rPr>
        <w:t xml:space="preserve">      MainChart.tsx      — Gas price cone + observed overlay</w:t>
      </w:r>
    </w:p>
    <w:p>
      <w:pPr>
        <w:spacing w:after="160" w:line="300"/>
      </w:pPr>
      <w:r>
        <w:rPr>
          <w:rFonts w:ascii="Courier New" w:cs="Courier New" w:eastAsia="Courier New" w:hAnsi="Courier New"/>
          <w:color w:val="6C3483"/>
          <w:sz w:val="20"/>
          <w:szCs w:val="20"/>
        </w:rPr>
        <w:t xml:space="preserve">      CrudeChart.tsx     — Crude oil sub-chart</w:t>
      </w:r>
    </w:p>
    <w:p>
      <w:pPr>
        <w:spacing w:after="160" w:line="300"/>
      </w:pPr>
      <w:r>
        <w:rPr>
          <w:rFonts w:ascii="Courier New" w:cs="Courier New" w:eastAsia="Courier New" w:hAnsi="Courier New"/>
          <w:color w:val="6C3483"/>
          <w:sz w:val="20"/>
          <w:szCs w:val="20"/>
        </w:rPr>
        <w:t xml:space="preserve">      SystemState.tsx    — Variable dashboard + loop indicator</w:t>
      </w:r>
    </w:p>
    <w:p>
      <w:pPr>
        <w:spacing w:after="160" w:line="300"/>
      </w:pPr>
      <w:r>
        <w:rPr>
          <w:rFonts w:ascii="Courier New" w:cs="Courier New" w:eastAsia="Courier New" w:hAnsi="Courier New"/>
          <w:color w:val="6C3483"/>
          <w:sz w:val="20"/>
          <w:szCs w:val="20"/>
        </w:rPr>
        <w:t xml:space="preserve">      SensitivityStrip.tsx — Dominant-driver color bar</w:t>
      </w:r>
    </w:p>
    <w:p>
      <w:pPr>
        <w:spacing w:after="160" w:line="300"/>
      </w:pPr>
      <w:r>
        <w:rPr>
          <w:rFonts w:ascii="Courier New" w:cs="Courier New" w:eastAsia="Courier New" w:hAnsi="Courier New"/>
          <w:color w:val="6C3483"/>
          <w:sz w:val="20"/>
          <w:szCs w:val="20"/>
        </w:rPr>
        <w:t xml:space="preserve">    data/</w:t>
      </w:r>
    </w:p>
    <w:p>
      <w:pPr>
        <w:spacing w:after="160" w:line="300"/>
      </w:pPr>
      <w:r>
        <w:rPr>
          <w:rFonts w:ascii="Courier New" w:cs="Courier New" w:eastAsia="Courier New" w:hAnsi="Courier New"/>
          <w:color w:val="6C3483"/>
          <w:sz w:val="20"/>
          <w:szCs w:val="20"/>
        </w:rPr>
        <w:t xml:space="preserve">      observed.ts        — Real AAA/EIA price data through today</w:t>
      </w:r>
    </w:p>
    <w:p>
      <w:pPr>
        <w:spacing w:after="160" w:line="300"/>
      </w:pPr>
      <w:r>
        <w:rPr>
          <w:rFonts w:ascii="Courier New" w:cs="Courier New" w:eastAsia="Courier New" w:hAnsi="Courier New"/>
          <w:color w:val="6C3483"/>
          <w:sz w:val="20"/>
          <w:szCs w:val="20"/>
        </w:rPr>
        <w:t xml:space="preserve">      constants.ts       — Tax rates, baseline values, elasticities</w:t>
      </w:r>
    </w:p>
    <w:p>
      <w:pPr>
        <w:spacing w:after="80"/>
      </w:pPr>
    </w:p>
    <w:p>
      <w:pPr>
        <w:pStyle w:val="Heading2"/>
      </w:pPr>
      <w:r>
        <w:t xml:space="preserve">7.2 Stack</w:t>
      </w:r>
    </w:p>
    <w:p>
      <w:pPr>
        <w:pStyle w:val="ListParagraph"/>
        <w:numPr>
          <w:ilvl w:val="0"/>
          <w:numId w:val="2"/>
        </w:numPr>
        <w:spacing w:after="80" w:line="280"/>
      </w:pPr>
      <w:r>
        <w:rPr>
          <w:sz w:val="22"/>
          <w:szCs w:val="22"/>
        </w:rPr>
        <w:t xml:space="preserve">React 18 + TypeScript</w:t>
      </w:r>
    </w:p>
    <w:p>
      <w:pPr>
        <w:pStyle w:val="ListParagraph"/>
        <w:numPr>
          <w:ilvl w:val="0"/>
          <w:numId w:val="2"/>
        </w:numPr>
        <w:spacing w:after="80" w:line="280"/>
      </w:pPr>
      <w:r>
        <w:rPr>
          <w:sz w:val="22"/>
          <w:szCs w:val="22"/>
        </w:rPr>
        <w:t xml:space="preserve">Recharts for visualization (consistent with the existing chart)</w:t>
      </w:r>
    </w:p>
    <w:p>
      <w:pPr>
        <w:pStyle w:val="ListParagraph"/>
        <w:numPr>
          <w:ilvl w:val="0"/>
          <w:numId w:val="2"/>
        </w:numPr>
        <w:spacing w:after="80" w:line="280"/>
      </w:pPr>
      <w:r>
        <w:rPr>
          <w:sz w:val="22"/>
          <w:szCs w:val="22"/>
        </w:rPr>
        <w:t xml:space="preserve">Tailwind CSS for layout</w:t>
      </w:r>
    </w:p>
    <w:p>
      <w:pPr>
        <w:pStyle w:val="ListParagraph"/>
        <w:numPr>
          <w:ilvl w:val="0"/>
          <w:numId w:val="2"/>
        </w:numPr>
        <w:spacing w:after="80" w:line="280"/>
      </w:pPr>
      <w:r>
        <w:rPr>
          <w:sz w:val="22"/>
          <w:szCs w:val="22"/>
        </w:rPr>
        <w:t xml:space="preserve">Vite for build tooling</w:t>
      </w:r>
    </w:p>
    <w:p>
      <w:pPr>
        <w:pStyle w:val="ListParagraph"/>
        <w:numPr>
          <w:ilvl w:val="0"/>
          <w:numId w:val="2"/>
        </w:numPr>
        <w:spacing w:after="80" w:line="280"/>
      </w:pPr>
      <w:r>
        <w:rPr>
          <w:sz w:val="22"/>
          <w:szCs w:val="22"/>
        </w:rPr>
        <w:t xml:space="preserve">No backend required; simulation runs entirely client-side</w:t>
      </w:r>
    </w:p>
    <w:p>
      <w:pPr>
        <w:spacing w:after="80"/>
      </w:pPr>
    </w:p>
    <w:p>
      <w:pPr>
        <w:pStyle w:val="Heading2"/>
      </w:pPr>
      <w:r>
        <w:t xml:space="preserve">7.3 Performance</w:t>
      </w:r>
    </w:p>
    <w:p>
      <w:pPr>
        <w:spacing w:after="160" w:line="300"/>
      </w:pPr>
      <w:r>
        <w:rPr>
          <w:sz w:val="22"/>
          <w:szCs w:val="22"/>
        </w:rPr>
        <w:t xml:space="preserve">500 Monte Carlo runs across 30 weekly time steps with 12 variables is 180,000 variable computations per configuration change. This should run in &lt;100ms on modern hardware. Use Web Workers if UI jank is observed during slider interaction. Debounce slider inputs to ~50ms.</w:t>
      </w:r>
    </w:p>
    <w:p>
      <w:r>
        <w:br w:type="page"/>
      </w:r>
    </w:p>
    <w:p>
      <w:pPr>
        <w:pStyle w:val="Heading1"/>
      </w:pPr>
      <w:r>
        <w:t xml:space="preserve">8. Calibration and Validation</w:t>
      </w:r>
    </w:p>
    <w:p>
      <w:pPr>
        <w:spacing w:after="80"/>
      </w:pPr>
    </w:p>
    <w:p>
      <w:pPr>
        <w:spacing w:after="160" w:line="300"/>
      </w:pPr>
      <w:r>
        <w:rPr>
          <w:sz w:val="22"/>
          <w:szCs w:val="22"/>
        </w:rPr>
        <w:t xml:space="preserve">The model must pass through observed data and produce plausible behavior under known historical scenarios.</w:t>
      </w:r>
    </w:p>
    <w:p>
      <w:pPr>
        <w:spacing w:after="80"/>
      </w:pPr>
    </w:p>
    <w:p>
      <w:pPr>
        <w:pStyle w:val="Heading2"/>
      </w:pPr>
      <w:r>
        <w:t xml:space="preserve">8.1 Anchor Points</w:t>
      </w:r>
    </w:p>
    <w:p>
      <w:pPr>
        <w:spacing w:after="160" w:line="300"/>
      </w:pPr>
      <w:r>
        <w:rPr>
          <w:sz w:val="22"/>
          <w:szCs w:val="22"/>
        </w:rPr>
        <w:t xml:space="preserve">The following real data points are constraints. The model’s median trajectory must pass through (or very near) these values when configured to match the actual Strait closure status observed so far: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34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Gas (AAA)</w:t>
            </w:r>
          </w:p>
        </w:tc>
        <w:tc>
          <w:tcPr>
            <w:tcW w:type="dxa" w:w="234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WTI Crude</w:t>
            </w:r>
          </w:p>
        </w:tc>
        <w:tc>
          <w:tcPr>
            <w:tcW w:type="dxa" w:w="234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Feb 28 (Week 0)</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$2.98</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~$67</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AAA / EIA</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Mar 5 (Week 1)</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~$3.25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~$85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AAA</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Mar 9 (Week 1.5)</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$3.48</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~$95 (settled $85–120 intraday)</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pPr>
              <w:spacing w:after="0"/>
            </w:pPr>
            <w:r>
              <w:rPr>
                <w:rFonts w:ascii="Arial" w:cs="Arial" w:eastAsia="Arial" w:hAnsi="Arial"/>
                <w:sz w:val="20"/>
                <w:szCs w:val="20"/>
              </w:rPr>
              <w:t xml:space="preserve">CBS / AAA</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Mar 12 (Week 2)</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$3.60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~$87–96 (settled)</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20"/>
                <w:szCs w:val="20"/>
              </w:rPr>
              <w:t xml:space="preserve">AAA ($3.598)</w:t>
            </w:r>
          </w:p>
        </w:tc>
      </w:tr>
    </w:tbl>
    <w:p>
      <w:pPr>
        <w:spacing w:after="80"/>
      </w:pPr>
    </w:p>
    <w:p>
      <w:pPr>
        <w:pStyle w:val="Heading2"/>
      </w:pPr>
      <w:r>
        <w:t xml:space="preserve">8.2 Sanity Checks</w:t>
      </w:r>
    </w:p>
    <w:p>
      <w:pPr>
        <w:pStyle w:val="ListParagraph"/>
        <w:numPr>
          <w:ilvl w:val="0"/>
          <w:numId w:val="2"/>
        </w:numPr>
        <w:spacing w:after="80" w:line="280"/>
      </w:pPr>
      <w:r>
        <w:rPr>
          <w:sz w:val="22"/>
          <w:szCs w:val="22"/>
        </w:rPr>
        <w:t xml:space="preserve">With Strait fully closed and no resolution, gas should approach or exceed $5.00 within 8–12 weeks (consistent with analyst estimates and the 2022 precedent).</w:t>
      </w:r>
    </w:p>
    <w:p>
      <w:pPr>
        <w:pStyle w:val="ListParagraph"/>
        <w:numPr>
          <w:ilvl w:val="0"/>
          <w:numId w:val="2"/>
        </w:numPr>
        <w:spacing w:after="80" w:line="280"/>
      </w:pPr>
      <w:r>
        <w:rPr>
          <w:sz w:val="22"/>
          <w:szCs w:val="22"/>
        </w:rPr>
        <w:t xml:space="preserve">With immediate full reopening at Week 2, gas should peak around $3.80–$4.00 and return toward $3.20–$3.40 within 6–8 weeks (accounting for sticky retailer margins and seasonal effects).</w:t>
      </w:r>
    </w:p>
    <w:p>
      <w:pPr>
        <w:pStyle w:val="ListParagraph"/>
        <w:numPr>
          <w:ilvl w:val="0"/>
          <w:numId w:val="2"/>
        </w:numPr>
        <w:spacing w:after="80" w:line="280"/>
      </w:pPr>
      <w:r>
        <w:rPr>
          <w:sz w:val="22"/>
          <w:szCs w:val="22"/>
        </w:rPr>
        <w:t xml:space="preserve">Demand destruction should visibly flatten the gas price curve above $5.00 (short-run elasticity means demand drops ~1.5% for a 50% price increase).</w:t>
      </w:r>
    </w:p>
    <w:p>
      <w:pPr>
        <w:pStyle w:val="ListParagraph"/>
        <w:numPr>
          <w:ilvl w:val="0"/>
          <w:numId w:val="2"/>
        </w:numPr>
        <w:spacing w:after="80" w:line="280"/>
      </w:pPr>
      <w:r>
        <w:rPr>
          <w:sz w:val="22"/>
          <w:szCs w:val="22"/>
        </w:rPr>
        <w:t xml:space="preserve">The seasonal component alone (baseline scenario, no conflict) should produce a ~$0.30–$0.50 increase from February to June peak.</w:t>
      </w:r>
    </w:p>
    <w:p>
      <w:pPr>
        <w:pStyle w:val="ListParagraph"/>
        <w:numPr>
          <w:ilvl w:val="0"/>
          <w:numId w:val="2"/>
        </w:numPr>
        <w:spacing w:after="80" w:line="280"/>
      </w:pPr>
      <w:r>
        <w:rPr>
          <w:sz w:val="22"/>
          <w:szCs w:val="22"/>
        </w:rPr>
        <w:t xml:space="preserve">SPR release of 400M barrels should suppress crude by $5–10/bbl temporarily (consistent with 2022 SPR release impact estimates).</w:t>
      </w:r>
    </w:p>
    <w:p>
      <w:r>
        <w:br w:type="page"/>
      </w:r>
    </w:p>
    <w:p>
      <w:pPr>
        <w:pStyle w:val="Heading1"/>
      </w:pPr>
      <w:r>
        <w:t xml:space="preserve">9. Epistemic Honesty: What This Model Cannot Do</w:t>
      </w:r>
    </w:p>
    <w:p>
      <w:pPr>
        <w:spacing w:after="80"/>
      </w:pPr>
    </w:p>
    <w:p>
      <w:pPr>
        <w:spacing w:after="160" w:line="300"/>
      </w:pPr>
      <w:r>
        <w:rPr>
          <w:sz w:val="22"/>
          <w:szCs w:val="22"/>
        </w:rPr>
        <w:t xml:space="preserve">This section is as important as the technical spec. The model should communicate its own limitations clearly, both in the UI and in any shared output.</w:t>
      </w:r>
    </w:p>
    <w:p>
      <w:pPr>
        <w:spacing w:after="80"/>
      </w:pPr>
    </w:p>
    <w:p>
      <w:pPr>
        <w:pStyle w:val="ListParagraph"/>
        <w:numPr>
          <w:ilvl w:val="0"/>
          <w:numId w:val="2"/>
        </w:numPr>
        <w:spacing w:after="80" w:line="280"/>
      </w:pPr>
      <w:r>
        <w:rPr>
          <w:b/>
          <w:bCs/>
          <w:sz w:val="22"/>
          <w:szCs w:val="22"/>
        </w:rPr>
        <w:t xml:space="preserve">It cannot predict geopolitical decisions. </w:t>
      </w:r>
      <w:r>
        <w:rPr>
          <w:sz w:val="22"/>
          <w:szCs w:val="22"/>
        </w:rPr>
        <w:t xml:space="preserve">Whether Iran reopens the Strait next week is a human decision, not a modelable variable. The simulation shows consequences of assumptions, not the assumptions themselves.</w:t>
      </w:r>
    </w:p>
    <w:p>
      <w:pPr>
        <w:pStyle w:val="ListParagraph"/>
        <w:numPr>
          <w:ilvl w:val="0"/>
          <w:numId w:val="2"/>
        </w:numPr>
        <w:spacing w:after="80" w:line="280"/>
      </w:pPr>
      <w:r>
        <w:rPr>
          <w:b/>
          <w:bCs/>
          <w:sz w:val="22"/>
          <w:szCs w:val="22"/>
        </w:rPr>
        <w:t xml:space="preserve">It cannot capture black swan cascades. </w:t>
      </w:r>
      <w:r>
        <w:rPr>
          <w:sz w:val="22"/>
          <w:szCs w:val="22"/>
        </w:rPr>
        <w:t xml:space="preserve">A retaliatory attack on Saudi Aramco facilities, a refinery explosion in the Gulf Coast, or a simultaneous hurricane during the crisis would each individually break any model. The simulation assumes “only the Strait closure” as the primary shock.</w:t>
      </w:r>
    </w:p>
    <w:p>
      <w:pPr>
        <w:pStyle w:val="ListParagraph"/>
        <w:numPr>
          <w:ilvl w:val="0"/>
          <w:numId w:val="2"/>
        </w:numPr>
        <w:spacing w:after="80" w:line="280"/>
      </w:pPr>
      <w:r>
        <w:rPr>
          <w:b/>
          <w:bCs/>
          <w:sz w:val="22"/>
          <w:szCs w:val="22"/>
        </w:rPr>
        <w:t xml:space="preserve">It simplifies regional variation into a national average. </w:t>
      </w:r>
      <w:r>
        <w:rPr>
          <w:sz w:val="22"/>
          <w:szCs w:val="22"/>
        </w:rPr>
        <w:t xml:space="preserve">California ($5.20) and Kansas ($3.01) are in different worlds. The model produces a national average that nobody actually pays.</w:t>
      </w:r>
    </w:p>
    <w:p>
      <w:pPr>
        <w:pStyle w:val="ListParagraph"/>
        <w:numPr>
          <w:ilvl w:val="0"/>
          <w:numId w:val="2"/>
        </w:numPr>
        <w:spacing w:after="80" w:line="280"/>
      </w:pPr>
      <w:r>
        <w:rPr>
          <w:b/>
          <w:bCs/>
          <w:sz w:val="22"/>
          <w:szCs w:val="22"/>
        </w:rPr>
        <w:t xml:space="preserve">The feedback loop parameters are estimated, not measured. </w:t>
      </w:r>
      <w:r>
        <w:rPr>
          <w:sz w:val="22"/>
          <w:szCs w:val="22"/>
        </w:rPr>
        <w:t xml:space="preserve">The crack spread’s response to utilization, the exact lag of demand destruction, and the retailer margin ratchet speed are all calibrated to “reasonable” values from literature, not fit to this specific crisis.</w:t>
      </w:r>
    </w:p>
    <w:p>
      <w:pPr>
        <w:pStyle w:val="ListParagraph"/>
        <w:numPr>
          <w:ilvl w:val="0"/>
          <w:numId w:val="2"/>
        </w:numPr>
        <w:spacing w:after="80" w:line="280"/>
      </w:pPr>
      <w:r>
        <w:rPr>
          <w:b/>
          <w:bCs/>
          <w:sz w:val="22"/>
          <w:szCs w:val="22"/>
        </w:rPr>
        <w:t xml:space="preserve">It has no financial market layer. </w:t>
      </w:r>
      <w:r>
        <w:rPr>
          <w:sz w:val="22"/>
          <w:szCs w:val="22"/>
        </w:rPr>
        <w:t xml:space="preserve">Futures market dynamics, speculative positioning, margin calls, and options market gamma effects all influence short-term crude volatility. These are absent.</w:t>
      </w:r>
    </w:p>
    <w:p>
      <w:pPr>
        <w:spacing w:after="80"/>
      </w:pPr>
    </w:p>
    <w:p>
      <w:pPr>
        <w:spacing w:after="160" w:line="300"/>
      </w:pPr>
      <w:r>
        <w:rPr>
          <w:b/>
          <w:bCs/>
          <w:sz w:val="22"/>
          <w:szCs w:val="22"/>
        </w:rPr>
        <w:t xml:space="preserve">The UI should include a persistent disclaimer: </w:t>
      </w:r>
      <w:r>
        <w:rPr>
          <w:i/>
          <w:iCs/>
          <w:sz w:val="22"/>
          <w:szCs w:val="22"/>
        </w:rPr>
        <w:t xml:space="preserve">This is a structural exploration tool, not a price forecast. It shows how factors interact, not where prices will land. Use it to build intuition, not to make bets.</w:t>
      </w:r>
    </w:p>
    <w:p>
      <w:r>
        <w:br w:type="page"/>
      </w:r>
    </w:p>
    <w:p>
      <w:pPr>
        <w:pStyle w:val="Heading1"/>
      </w:pPr>
      <w:r>
        <w:t xml:space="preserve">10. Implementation Order</w:t>
      </w:r>
    </w:p>
    <w:p>
      <w:pPr>
        <w:spacing w:after="80"/>
      </w:pPr>
    </w:p>
    <w:p>
      <w:pPr>
        <w:spacing w:after="160" w:line="300"/>
      </w:pPr>
      <w:r>
        <w:rPr>
          <w:sz w:val="22"/>
          <w:szCs w:val="22"/>
        </w:rPr>
        <w:t xml:space="preserve">Recommended build sequence for Claude Code, designed so each phase produces a testable artifact: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Phase 1: Simulation Engine (no UI)</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Build engine.ts, variables.ts, and calibration.ts. Run headlessly in Node. Verify the simulation produces the anchor-point prices when configured for the observed Strait status. Print weekly variable snapshots to console. This is the foundation—if the math is wrong here, everything downstream is wrong.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Phase 2: Monte Carlo Layer</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Build monte-carlo.ts. Run 500 simulations for a test configuration. Output percentile bands (10th, 25th, 50th, 75th, 90th) to console or JSON. Verify the cone widens over time and that the median matches the deterministic engine output. Tune parameter distributions until sanity checks pass.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Phase 3: Minimal UI + Main Chart</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Build App.tsx and MainChart.tsx. Hardcode one scenario. Display the gas price cone with observed data overlay. Verify it looks right visually—the cone should pass through $3.60 at today and fan out. No controls yet.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Phase 4: Controls and Presets</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Build ControlPanel.tsx. Wire sliders to simulation parameters. Add the four scenario presets. Verify that changing inputs produces immediate visual changes in the chart. Performance-test slider responsiveness.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Phase 5: System State and Crude Sub-Chart</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Build SystemState.tsx, CrudeChart.tsx, SensitivityStrip.tsx. Add the time-step scrubber. Wire the feedback loop dominance indicator. This is the “make the model’s guts visible” phase.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none"/>
              <w:right w:val="single" w:color="2E86C1" w:sz="1"/>
            </w:tcBorders>
            <w:shd w:fill="2E86C1" w:val="clear"/>
            <w:tcMar>
              <w:top w:type="dxa" w:w="60"/>
              <w:left w:type="dxa" w:w="120"/>
              <w:bottom w:type="dxa" w:w="60"/>
              <w:right w:type="dxa" w:w="120"/>
            </w:tcMar>
          </w:tcPr>
          <w:p>
            <w:r>
              <w:rPr>
                <w:rFonts w:ascii="Arial" w:cs="Arial" w:eastAsia="Arial" w:hAnsi="Arial"/>
                <w:b/>
                <w:bCs/>
                <w:color w:val="FFFFFF"/>
                <w:sz w:val="22"/>
                <w:szCs w:val="22"/>
              </w:rPr>
              <w:t xml:space="preserve">Phase 6: Polish</w:t>
            </w:r>
          </w:p>
        </w:tc>
      </w:tr>
      <w:tr>
        <w:tc>
          <w:tcPr>
            <w:tcW w:type="dxa" w:w="9360"/>
            <w:tcBorders>
              <w:top w:val="none"/>
              <w:left w:val="single" w:color="2E86C1" w:sz="1"/>
              <w:bottom w:val="single" w:color="D4E6F1" w:sz="1"/>
              <w:right w:val="single" w:color="2E86C1" w:sz="1"/>
            </w:tcBorders>
            <w:shd w:fill="EBF5FB" w:val="clear"/>
            <w:tcMar>
              <w:top w:type="dxa" w:w="60"/>
              <w:left w:type="dxa" w:w="120"/>
              <w:bottom w:type="dxa" w:w="60"/>
              <w:right w:type="dxa" w:w="120"/>
            </w:tcMar>
          </w:tcPr>
          <w:p>
            <w:pPr>
              <w:spacing w:after="0" w:line="280"/>
            </w:pPr>
            <w:r>
              <w:rPr>
                <w:sz w:val="22"/>
                <w:szCs w:val="22"/>
              </w:rPr>
              <w:t xml:space="preserve">Dark theme styling consistent with existing chart. Responsive layout. Tooltip refinement. Disclaimer text. Export/share functionality if time permits.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026"/>
      </w:tabs>
    </w:pPr>
    <w:r>
      <w:rPr>
        <w:rFonts w:ascii="Arial" w:cs="Arial" w:eastAsia="Arial" w:hAnsi="Arial"/>
        <w:color w:val="7F8C8D"/>
        <w:sz w:val="16"/>
        <w:szCs w:val="16"/>
      </w:rPr>
      <w:t xml:space="preserve">Gas Price System Dynamics Simulator</w:t>
    </w:r>
    <w:r>
      <w:t xml:space="preserve">	</w:t>
    </w:r>
    <w:r>
      <w:rPr>
        <w:rFonts w:ascii="Arial" w:cs="Arial" w:eastAsia="Arial" w:hAnsi="Arial"/>
        <w:color w:val="7F8C8D"/>
        <w:sz w:val="16"/>
        <w:szCs w:val="16"/>
      </w:rPr>
      <w:t xml:space="preserve">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2026-03-13T03:55:30.438Z</dcterms:created>
  <dcterms:modified xsi:type="dcterms:W3CDTF">2026-03-13T03:55:30.439Z</dcterms:modified>
</cp:coreProperties>
</file>

<file path=docProps/custom.xml><?xml version="1.0" encoding="utf-8"?>
<Properties xmlns="http://schemas.openxmlformats.org/officeDocument/2006/custom-properties" xmlns:vt="http://schemas.openxmlformats.org/officeDocument/2006/docPropsVTypes"/>
</file>