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Machine Learning–Based Employee Attrition Prediction and Risk Scoring System</w:t>
      </w:r>
    </w:p>
    <w:p>
      <w:pPr/>
      <w:r>
        <w:rPr>
          <w:i/>
        </w:rPr>
        <w:t xml:space="preserve">Palo Alto Networks | Unified Mentor project | Prepared by Jaspreet Singh</w:t>
      </w:r>
    </w:p>
    <w:p>
      <w:pPr>
        <w:pStyle w:val="Heading2"/>
      </w:pPr>
      <w:r>
        <w:t xml:space="preserve">Abstract</w:t>
      </w:r>
    </w:p>
    <w:p>
      <w:pPr/>
      <w:r>
        <w:t xml:space="preserve">HR teams can usually explain why people left after the fact, but they struggle to say which employees are likely to leave next. This paper builds a predictive attrition system on a 1,470-employee dataset with 30 attributes. We engineer four behavioural features, compare Logistic Regression, Random Forest and Gradient Boosting under class-imbalance handling, and convert predicted probabilities into Low, Medium and High risk bands with individual reason codes. Logistic Regression performed best (hold-out ROC-AUC 0.816; 5-fold CV ROC-AUC 0.829; recall 0.70). Out-of-fold scoring places 323 employees (22%) in the High band, where 45.5% actually left, against 3.7% in the Low band. Overtime, frequent travel, early tenure, low income and junior sales or technician roles are the dominant drivers. A Streamlit dashboard delivers risk views, employee profiles, department analysis and what-if exploration.</w:t>
      </w:r>
    </w:p>
    <w:p>
      <w:pPr>
        <w:pStyle w:val="Heading2"/>
      </w:pPr>
      <w:r>
        <w:t xml:space="preserve">1. Introduction and Problem Statement</w:t>
      </w:r>
    </w:p>
    <w:p>
      <w:pPr/>
      <w:r>
        <w:t xml:space="preserve">Palo Alto Networks faces sudden resignations, loss of high-performing or critical staff, and counter-offers that arrive too late. It lacks a systematic way to predict attrition, quantitative risk scores per employee, and visibility into what drives exit decisions. The objectives are to:</w:t>
      </w:r>
    </w:p>
    <w:p>
      <w:pPr>
        <w:pStyle w:val="ListParagraph"/>
        <w:numPr>
          <w:ilvl w:val="0"/>
          <w:numId w:val="2"/>
        </w:numPr>
      </w:pPr>
      <w:r>
        <w:t xml:space="preserve">Identify high-risk employees early.</w:t>
      </w:r>
    </w:p>
    <w:p>
      <w:pPr>
        <w:pStyle w:val="ListParagraph"/>
        <w:numPr>
          <w:ilvl w:val="0"/>
          <w:numId w:val="2"/>
        </w:numPr>
      </w:pPr>
      <w:r>
        <w:t xml:space="preserve">Enable targeted retention interventions.</w:t>
      </w:r>
    </w:p>
    <w:p>
      <w:pPr>
        <w:pStyle w:val="ListParagraph"/>
        <w:numPr>
          <w:ilvl w:val="0"/>
          <w:numId w:val="2"/>
        </w:numPr>
      </w:pPr>
      <w:r>
        <w:t xml:space="preserve">Support data-driven workforce planning.</w:t>
      </w:r>
    </w:p>
    <w:p>
      <w:pPr>
        <w:pStyle w:val="Heading2"/>
      </w:pPr>
      <w:r>
        <w:t xml:space="preserve">2. Data</w:t>
      </w:r>
    </w:p>
    <w:p>
      <w:pPr/>
      <w:r>
        <w:t xml:space="preserve">The dataset contains 1,470 employees and 31 columns, including the target </w:t>
      </w:r>
      <w:r>
        <w:rPr>
          <w:rStyle w:val="CodeChar"/>
        </w:rPr>
        <w:t xml:space="preserve">Attrition</w:t>
      </w:r>
      <w:r>
        <w:t xml:space="preserve"> (1 = left). There are no missing values. Fields cover demographics, compensation, role and tenure, satisfaction ratings, overtime and travel. The target is imbalanced: 237 employees left (16.1%) and 1,233 stayed. The dataset has no employee identifier, so row order was used as Employee ID in the dashboard.</w:t>
      </w:r>
    </w:p>
    <w:p>
      <w:pPr>
        <w:pStyle w:val="Heading2"/>
      </w:pPr>
      <w:r>
        <w:t xml:space="preserve">3. Exploratory Data Analysis</w:t>
      </w:r>
    </w:p>
    <w:p>
      <w:pPr/>
      <w:r>
        <w:t xml:space="preserve">Attrition rates (percent of employees who left) by segment:</w:t>
      </w:r>
    </w:p>
    <w:tbl>
      <w:tblPr>
        <w:tblStyle w:val="TableGrid"/>
        <w:tblW w:w="0" w:type="auto"/>
        <w:tblLayout w:type="fixed"/>
        <w:tblLook w:val="04A0" w:firstRow="1" w:lastRow="0" w:firstColumn="0" w:lastColumn="0" w:noHBand="0" w:noVBand="1"/>
      </w:tblPr>
      <w:tblGrid>
        <w:gridCol w:w="3642"/>
        <w:gridCol w:w="5717"/>
      </w:tblGrid>
      <w:tr>
        <w:trPr>
          <w:tblHeader/>
        </w:trPr>
        <w:tc>
          <w:tcPr>
            <w:tcW w:w="3642" w:type="dxa"/>
            <w:shd w:val="clear" w:color="auto" w:fill="F2F2F2"/>
          </w:tcPr>
          <w:p>
            <w:pPr/>
            <w:r>
              <w:t xml:space="preserve">Factor</w:t>
            </w:r>
          </w:p>
        </w:tc>
        <w:tc>
          <w:tcPr>
            <w:tcW w:w="5717" w:type="dxa"/>
            <w:shd w:val="clear" w:color="auto" w:fill="F2F2F2"/>
          </w:tcPr>
          <w:p>
            <w:pPr/>
            <w:r>
              <w:t xml:space="preserve">Segment: attrition rate</w:t>
            </w:r>
          </w:p>
        </w:tc>
      </w:tr>
      <w:tr>
        <w:tc>
          <w:tcPr>
            <w:tcW w:w="3642" w:type="dxa"/>
          </w:tcPr>
          <w:p>
            <w:pPr/>
            <w:r>
              <w:t xml:space="preserve">Overtime</w:t>
            </w:r>
          </w:p>
        </w:tc>
        <w:tc>
          <w:tcPr>
            <w:tcW w:w="5717" w:type="dxa"/>
          </w:tcPr>
          <w:p>
            <w:pPr/>
            <w:r>
              <w:t xml:space="preserve">No: 10.4% / Yes: 30.5%</w:t>
            </w:r>
          </w:p>
        </w:tc>
      </w:tr>
      <w:tr>
        <w:tc>
          <w:tcPr>
            <w:tcW w:w="3642" w:type="dxa"/>
          </w:tcPr>
          <w:p>
            <w:pPr/>
            <w:r>
              <w:t xml:space="preserve">Business travel</w:t>
            </w:r>
          </w:p>
        </w:tc>
        <w:tc>
          <w:tcPr>
            <w:tcW w:w="5717" w:type="dxa"/>
          </w:tcPr>
          <w:p>
            <w:pPr/>
            <w:r>
              <w:t xml:space="preserve">Non-travel: 8.0% / Rarely: 15.0% / Frequently: 24.9%</w:t>
            </w:r>
          </w:p>
        </w:tc>
      </w:tr>
      <w:tr>
        <w:tc>
          <w:tcPr>
            <w:tcW w:w="3642" w:type="dxa"/>
          </w:tcPr>
          <w:p>
            <w:pPr/>
            <w:r>
              <w:t xml:space="preserve">Marital status</w:t>
            </w:r>
          </w:p>
        </w:tc>
        <w:tc>
          <w:tcPr>
            <w:tcW w:w="5717" w:type="dxa"/>
          </w:tcPr>
          <w:p>
            <w:pPr/>
            <w:r>
              <w:t xml:space="preserve">Divorced: 10.1% / Married: 12.5% / Single: 25.5%</w:t>
            </w:r>
          </w:p>
        </w:tc>
      </w:tr>
      <w:tr>
        <w:tc>
          <w:tcPr>
            <w:tcW w:w="3642" w:type="dxa"/>
          </w:tcPr>
          <w:p>
            <w:pPr/>
            <w:r>
              <w:t xml:space="preserve">Monthly income quartile</w:t>
            </w:r>
          </w:p>
        </w:tc>
        <w:tc>
          <w:tcPr>
            <w:tcW w:w="5717" w:type="dxa"/>
          </w:tcPr>
          <w:p>
            <w:pPr/>
            <w:r>
              <w:t xml:space="preserve">Q1 (lowest): 29.3% / Q2: 14.2% / Q3: 10.6% / Q4: 10.3%</w:t>
            </w:r>
          </w:p>
        </w:tc>
      </w:tr>
      <w:tr>
        <w:tc>
          <w:tcPr>
            <w:tcW w:w="3642" w:type="dxa"/>
          </w:tcPr>
          <w:p>
            <w:pPr/>
            <w:r>
              <w:t xml:space="preserve">Tenure (years at company)</w:t>
            </w:r>
          </w:p>
        </w:tc>
        <w:tc>
          <w:tcPr>
            <w:tcW w:w="5717" w:type="dxa"/>
          </w:tcPr>
          <w:p>
            <w:pPr/>
            <w:r>
              <w:t xml:space="preserve">0–2: 29.8% / 3–5: 13.8% / 6–10: 12.3% / 10+: 8.1%</w:t>
            </w:r>
          </w:p>
        </w:tc>
      </w:tr>
      <w:tr>
        <w:tc>
          <w:tcPr>
            <w:tcW w:w="3642" w:type="dxa"/>
          </w:tcPr>
          <w:p>
            <w:pPr/>
            <w:r>
              <w:t xml:space="preserve">Age</w:t>
            </w:r>
          </w:p>
        </w:tc>
        <w:tc>
          <w:tcPr>
            <w:tcW w:w="5717" w:type="dxa"/>
          </w:tcPr>
          <w:p>
            <w:pPr/>
            <w:r>
              <w:t xml:space="preserve">≤25: 35.8% / 26–35: 19.1% / 36–45: 9.2% / 46+: 12.5%</w:t>
            </w:r>
          </w:p>
        </w:tc>
      </w:tr>
      <w:tr>
        <w:tc>
          <w:tcPr>
            <w:tcW w:w="3642" w:type="dxa"/>
          </w:tcPr>
          <w:p>
            <w:pPr/>
            <w:r>
              <w:t xml:space="preserve">Job level</w:t>
            </w:r>
          </w:p>
        </w:tc>
        <w:tc>
          <w:tcPr>
            <w:tcW w:w="5717" w:type="dxa"/>
          </w:tcPr>
          <w:p>
            <w:pPr/>
            <w:r>
              <w:t xml:space="preserve">Level 1: 26.3% / Level 2: 9.7% / Level 3: 14.7% / Level 4: 4.7% / Level 5: 7.2%</w:t>
            </w:r>
          </w:p>
        </w:tc>
      </w:tr>
      <w:tr>
        <w:tc>
          <w:tcPr>
            <w:tcW w:w="3642" w:type="dxa"/>
          </w:tcPr>
          <w:p>
            <w:pPr/>
            <w:r>
              <w:t xml:space="preserve">Stock option level</w:t>
            </w:r>
          </w:p>
        </w:tc>
        <w:tc>
          <w:tcPr>
            <w:tcW w:w="5717" w:type="dxa"/>
          </w:tcPr>
          <w:p>
            <w:pPr/>
            <w:r>
              <w:t xml:space="preserve">0: 24.4% / 1: 9.4% / 2: 7.6% / 3: 17.6%</w:t>
            </w:r>
          </w:p>
        </w:tc>
      </w:tr>
      <w:tr>
        <w:tc>
          <w:tcPr>
            <w:tcW w:w="3642" w:type="dxa"/>
          </w:tcPr>
          <w:p>
            <w:pPr/>
            <w:r>
              <w:t xml:space="preserve">Work-life balance (1 = poor)</w:t>
            </w:r>
          </w:p>
        </w:tc>
        <w:tc>
          <w:tcPr>
            <w:tcW w:w="5717" w:type="dxa"/>
          </w:tcPr>
          <w:p>
            <w:pPr/>
            <w:r>
              <w:t xml:space="preserve">1: 31.2% / 2: 16.9% / 3: 14.2% / 4: 17.6%</w:t>
            </w:r>
          </w:p>
        </w:tc>
      </w:tr>
      <w:tr>
        <w:tc>
          <w:tcPr>
            <w:tcW w:w="3642" w:type="dxa"/>
          </w:tcPr>
          <w:p>
            <w:pPr/>
            <w:r>
              <w:t xml:space="preserve">Job satisfaction</w:t>
            </w:r>
          </w:p>
        </w:tc>
        <w:tc>
          <w:tcPr>
            <w:tcW w:w="5717" w:type="dxa"/>
          </w:tcPr>
          <w:p>
            <w:pPr/>
            <w:r>
              <w:t xml:space="preserve">1: 22.8% / 2: 16.4% / 3: 16.5% / 4: 11.3%</w:t>
            </w:r>
          </w:p>
        </w:tc>
      </w:tr>
      <w:tr>
        <w:tc>
          <w:tcPr>
            <w:tcW w:w="3642" w:type="dxa"/>
          </w:tcPr>
          <w:p>
            <w:pPr/>
            <w:r>
              <w:t xml:space="preserve">Department</w:t>
            </w:r>
          </w:p>
        </w:tc>
        <w:tc>
          <w:tcPr>
            <w:tcW w:w="5717" w:type="dxa"/>
          </w:tcPr>
          <w:p>
            <w:pPr/>
            <w:r>
              <w:t xml:space="preserve">HR: 19.0% / R&amp;D: 13.8% / Sales: 20.6%</w:t>
            </w:r>
          </w:p>
        </w:tc>
      </w:tr>
    </w:tbl>
    <w:p>
      <w:pPr/>
      <w:r>
        <w:t xml:space="preserve">By role, attrition ranges from 2.5% (Research Director) and 4.9% (Manager) to 23.9% (Laboratory Technician) and 39.8% (Sales Representative). Leavers were younger on average (33.6 vs 37.6 years), earned a lower median monthly income (3,202 vs 5,204) and lived slightly farther away (10.6 vs 8.9 distance units).</w:t>
      </w:r>
    </w:p>
    <w:p>
      <w:pPr/>
      <w:r>
        <w:rPr>
          <w:b/>
        </w:rPr>
        <w:t xml:space="preserve">Key insights.</w:t>
      </w:r>
      <w:r>
        <w:t xml:space="preserve"> (a) Overtime is the single starkest split: overtime workers leave at about three times the rate of others. (b) Attrition concentrates among new, junior, lower-paid, single and frequently travelling employees. (c) Having no stock options is associated with much higher attrition (24.4% vs 7.6–9.4% at levels 1–2). (d) Poor work-life balance (rating 1) carries a 31.2% attrition rate, roughly double the rate at higher ratings. These are associations in a single snapshot, not proof of cause.</w:t>
      </w:r>
    </w:p>
    <w:p>
      <w:pPr>
        <w:pStyle w:val="Heading2"/>
      </w:pPr>
      <w:r>
        <w:t xml:space="preserve">4. Methodology</w:t>
      </w:r>
    </w:p>
    <w:p>
      <w:pPr>
        <w:pStyle w:val="Heading3"/>
      </w:pPr>
      <w:r>
        <w:t xml:space="preserve">4.1 Preprocessing</w:t>
      </w:r>
    </w:p>
    <w:p>
      <w:pPr>
        <w:pStyle w:val="ListParagraph"/>
        <w:numPr>
          <w:ilvl w:val="0"/>
          <w:numId w:val="3"/>
        </w:numPr>
      </w:pPr>
      <w:r>
        <w:t xml:space="preserve">Categorical variables (BusinessTravel, Department, EducationField, Gender, JobRole, MaritalStatus, OverTime) were one-hot encoded; ordinal ratings were kept as integers.</w:t>
      </w:r>
    </w:p>
    <w:p>
      <w:pPr>
        <w:pStyle w:val="ListParagraph"/>
        <w:numPr>
          <w:ilvl w:val="0"/>
          <w:numId w:val="3"/>
        </w:numPr>
      </w:pPr>
      <w:r>
        <w:t xml:space="preserve">Numeric features were standardised for Logistic Regression (tree models need no scaling).</w:t>
      </w:r>
    </w:p>
    <w:p>
      <w:pPr>
        <w:pStyle w:val="ListParagraph"/>
        <w:numPr>
          <w:ilvl w:val="0"/>
          <w:numId w:val="3"/>
        </w:numPr>
      </w:pPr>
      <w:r>
        <w:t xml:space="preserve">Class imbalance was handled with class weights (</w:t>
      </w:r>
      <w:r>
        <w:rPr>
          <w:rStyle w:val="CodeChar"/>
        </w:rPr>
        <w:t xml:space="preserve">balanced</w:t>
      </w:r>
      <w:r>
        <w:t xml:space="preserve">, </w:t>
      </w:r>
      <w:r>
        <w:rPr>
          <w:rStyle w:val="CodeChar"/>
        </w:rPr>
        <w:t xml:space="preserve">balanced_subsample</w:t>
      </w:r>
      <w:r>
        <w:t xml:space="preserve">) rather than SMOTE, which avoids synthetic records and keeps the evaluation clean.</w:t>
      </w:r>
    </w:p>
    <w:p>
      <w:pPr>
        <w:pStyle w:val="ListParagraph"/>
        <w:numPr>
          <w:ilvl w:val="0"/>
          <w:numId w:val="3"/>
        </w:numPr>
      </w:pPr>
      <w:r>
        <w:t xml:space="preserve">Data were split 80/20 with stratification on the target (random seed 42). Five-fold stratified cross-validation was used for model selection and to produce out-of-fold risk scores.</w:t>
      </w:r>
    </w:p>
    <w:p>
      <w:pPr>
        <w:pStyle w:val="Heading3"/>
      </w:pPr>
      <w:r>
        <w:t xml:space="preserve">4.2 Feature engineering</w:t>
      </w:r>
    </w:p>
    <w:tbl>
      <w:tblPr>
        <w:tblStyle w:val="TableGrid"/>
        <w:tblW w:w="0" w:type="auto"/>
        <w:tblLayout w:type="fixed"/>
        <w:tblLook w:val="04A0" w:firstRow="1" w:lastRow="0" w:firstColumn="0" w:lastColumn="0" w:noHBand="0" w:noVBand="1"/>
      </w:tblPr>
      <w:tblGrid>
        <w:gridCol w:w="2457"/>
        <w:gridCol w:w="4740"/>
        <w:gridCol w:w="2162"/>
      </w:tblGrid>
      <w:tr>
        <w:trPr>
          <w:tblHeader/>
        </w:trPr>
        <w:tc>
          <w:tcPr>
            <w:tcW w:w="2457" w:type="dxa"/>
            <w:shd w:val="clear" w:color="auto" w:fill="F2F2F2"/>
          </w:tcPr>
          <w:p>
            <w:pPr/>
            <w:r>
              <w:t xml:space="preserve">Feature</w:t>
            </w:r>
          </w:p>
        </w:tc>
        <w:tc>
          <w:tcPr>
            <w:tcW w:w="4740" w:type="dxa"/>
            <w:shd w:val="clear" w:color="auto" w:fill="F2F2F2"/>
          </w:tcPr>
          <w:p>
            <w:pPr/>
            <w:r>
              <w:t xml:space="preserve">Definition</w:t>
            </w:r>
          </w:p>
        </w:tc>
        <w:tc>
          <w:tcPr>
            <w:tcW w:w="2162" w:type="dxa"/>
            <w:shd w:val="clear" w:color="auto" w:fill="F2F2F2"/>
          </w:tcPr>
          <w:p>
            <w:pPr/>
            <w:r>
              <w:t xml:space="preserve">Purpose</w:t>
            </w:r>
          </w:p>
        </w:tc>
      </w:tr>
      <w:tr>
        <w:tc>
          <w:tcPr>
            <w:tcW w:w="2457" w:type="dxa"/>
          </w:tcPr>
          <w:p>
            <w:pPr/>
            <w:r>
              <w:t xml:space="preserve">IncomePerExpYear</w:t>
            </w:r>
          </w:p>
        </w:tc>
        <w:tc>
          <w:tcPr>
            <w:tcW w:w="4740" w:type="dxa"/>
          </w:tcPr>
          <w:p>
            <w:pPr/>
            <w:r>
              <w:t xml:space="preserve">MonthlyIncome / (TotalWorkingYears + 1)</w:t>
            </w:r>
          </w:p>
        </w:tc>
        <w:tc>
          <w:tcPr>
            <w:tcW w:w="2162" w:type="dxa"/>
          </w:tcPr>
          <w:p>
            <w:pPr/>
            <w:r>
              <w:t xml:space="preserve">Pay relative to experience</w:t>
            </w:r>
          </w:p>
        </w:tc>
      </w:tr>
      <w:tr>
        <w:tc>
          <w:tcPr>
            <w:tcW w:w="2457" w:type="dxa"/>
          </w:tcPr>
          <w:p>
            <w:pPr/>
            <w:r>
              <w:t xml:space="preserve">PromotionDelayRatio</w:t>
            </w:r>
          </w:p>
        </w:tc>
        <w:tc>
          <w:tcPr>
            <w:tcW w:w="4740" w:type="dxa"/>
          </w:tcPr>
          <w:p>
            <w:pPr/>
            <w:r>
              <w:t xml:space="preserve">YearsSinceLastPromotion / (YearsAtCompany + 1)</w:t>
            </w:r>
          </w:p>
        </w:tc>
        <w:tc>
          <w:tcPr>
            <w:tcW w:w="2162" w:type="dxa"/>
          </w:tcPr>
          <w:p>
            <w:pPr/>
            <w:r>
              <w:t xml:space="preserve">Stagnation relative to tenure</w:t>
            </w:r>
          </w:p>
        </w:tc>
      </w:tr>
      <w:tr>
        <w:tc>
          <w:tcPr>
            <w:tcW w:w="2457" w:type="dxa"/>
          </w:tcPr>
          <w:p>
            <w:pPr/>
            <w:r>
              <w:t xml:space="preserve">LongNoPromotion</w:t>
            </w:r>
          </w:p>
        </w:tc>
        <w:tc>
          <w:tcPr>
            <w:tcW w:w="4740" w:type="dxa"/>
          </w:tcPr>
          <w:p>
            <w:pPr/>
            <w:r>
              <w:t xml:space="preserve">1 if YearsSinceLastPromotion ≥ 3</w:t>
            </w:r>
          </w:p>
        </w:tc>
        <w:tc>
          <w:tcPr>
            <w:tcW w:w="2162" w:type="dxa"/>
          </w:tcPr>
          <w:p>
            <w:pPr/>
            <w:r>
              <w:t xml:space="preserve">Promotion delay flag</w:t>
            </w:r>
          </w:p>
        </w:tc>
      </w:tr>
      <w:tr>
        <w:tc>
          <w:tcPr>
            <w:tcW w:w="2457" w:type="dxa"/>
          </w:tcPr>
          <w:p>
            <w:pPr/>
            <w:r>
              <w:t xml:space="preserve">EngagementScore</w:t>
            </w:r>
          </w:p>
        </w:tc>
        <w:tc>
          <w:tcPr>
            <w:tcW w:w="4740" w:type="dxa"/>
          </w:tcPr>
          <w:p>
            <w:pPr/>
            <w:r>
              <w:t xml:space="preserve">Mean of job, environment and relationship satisfaction, job involvement and work-life balance</w:t>
            </w:r>
          </w:p>
        </w:tc>
        <w:tc>
          <w:tcPr>
            <w:tcW w:w="2162" w:type="dxa"/>
          </w:tcPr>
          <w:p>
            <w:pPr/>
            <w:r>
              <w:t xml:space="preserve">Engagement composite</w:t>
            </w:r>
          </w:p>
        </w:tc>
      </w:tr>
      <w:tr>
        <w:tc>
          <w:tcPr>
            <w:tcW w:w="2457" w:type="dxa"/>
          </w:tcPr>
          <w:p>
            <w:pPr/>
            <w:r>
              <w:t xml:space="preserve">WorkloadStress</w:t>
            </w:r>
          </w:p>
        </w:tc>
        <w:tc>
          <w:tcPr>
            <w:tcW w:w="4740" w:type="dxa"/>
          </w:tcPr>
          <w:p>
            <w:pPr/>
            <w:r>
              <w:t xml:space="preserve">1 if OverTime = Yes and WorkLifeBalance ≤ 2</w:t>
            </w:r>
          </w:p>
        </w:tc>
        <w:tc>
          <w:tcPr>
            <w:tcW w:w="2162" w:type="dxa"/>
          </w:tcPr>
          <w:p>
            <w:pPr/>
            <w:r>
              <w:t xml:space="preserve">Overload flag</w:t>
            </w:r>
          </w:p>
        </w:tc>
      </w:tr>
    </w:tbl>
    <w:p>
      <w:pPr>
        <w:pStyle w:val="Heading3"/>
      </w:pPr>
      <w:r>
        <w:t xml:space="preserve">4.3 Models</w:t>
      </w:r>
    </w:p>
    <w:p>
      <w:pPr/>
      <w:r>
        <w:t xml:space="preserve">Logistic Regression (L2, C = 0.1) was the interpretability baseline. Random Forest (400 trees, minimum leaf size 3) and Gradient Boosting (shallow trees, learning rate 0.05) were the advanced models. XGBoost can be substituted for the boosting model; the results below use scikit-learn's gradient boosting.</w:t>
      </w:r>
    </w:p>
    <w:p>
      <w:pPr>
        <w:pStyle w:val="Heading3"/>
      </w:pPr>
      <w:r>
        <w:t xml:space="preserve">4.4 Risk scoring and reason codes</w:t>
      </w:r>
    </w:p>
    <w:p>
      <w:pPr/>
      <w:r>
        <w:t xml:space="preserve">Each employee receives an attrition probability between 0 and 1, bucketed as Low (&lt;30%), Medium (30–60%) or High (&gt;60%). Scores shown in the dashboard are out-of-fold, so each employee is scored by a model that did not train on them. Reason codes list the top three factors pushing an employee's risk above the average employee, computed as each logistic coefficient times the employee's deviation from the mean in the model's feature space.</w:t>
      </w:r>
    </w:p>
    <w:p>
      <w:pPr>
        <w:pStyle w:val="Heading2"/>
      </w:pPr>
      <w:r>
        <w:t xml:space="preserve">5. Results</w:t>
      </w:r>
    </w:p>
    <w:p>
      <w:pPr>
        <w:pStyle w:val="Heading3"/>
      </w:pPr>
      <w:r>
        <w:t xml:space="preserve">5.1 Model comparison</w:t>
      </w:r>
    </w:p>
    <w:tbl>
      <w:tblPr>
        <w:tblStyle w:val="TableGrid"/>
        <w:tblW w:w="0" w:type="auto"/>
        <w:tblLayout w:type="fixed"/>
        <w:tblLook w:val="04A0" w:firstRow="1" w:lastRow="0" w:firstColumn="0" w:lastColumn="0" w:noHBand="0" w:noVBand="1"/>
      </w:tblPr>
      <w:tblGrid>
        <w:gridCol w:w="2263"/>
        <w:gridCol w:w="1186"/>
        <w:gridCol w:w="1225"/>
        <w:gridCol w:w="909"/>
        <w:gridCol w:w="791"/>
        <w:gridCol w:w="1467"/>
        <w:gridCol w:w="1518"/>
      </w:tblGrid>
      <w:tr>
        <w:trPr>
          <w:tblHeader/>
        </w:trPr>
        <w:tc>
          <w:tcPr>
            <w:tcW w:w="2263" w:type="dxa"/>
            <w:shd w:val="clear" w:color="auto" w:fill="F2F2F2"/>
          </w:tcPr>
          <w:p>
            <w:pPr/>
            <w:r>
              <w:t xml:space="preserve">Model</w:t>
            </w:r>
          </w:p>
        </w:tc>
        <w:tc>
          <w:tcPr>
            <w:tcW w:w="1186" w:type="dxa"/>
            <w:shd w:val="clear" w:color="auto" w:fill="F2F2F2"/>
          </w:tcPr>
          <w:p>
            <w:pPr/>
            <w:r>
              <w:t xml:space="preserve">Accuracy</w:t>
            </w:r>
          </w:p>
        </w:tc>
        <w:tc>
          <w:tcPr>
            <w:tcW w:w="1225" w:type="dxa"/>
            <w:shd w:val="clear" w:color="auto" w:fill="F2F2F2"/>
          </w:tcPr>
          <w:p>
            <w:pPr/>
            <w:r>
              <w:t xml:space="preserve">Precision</w:t>
            </w:r>
          </w:p>
        </w:tc>
        <w:tc>
          <w:tcPr>
            <w:tcW w:w="909" w:type="dxa"/>
            <w:shd w:val="clear" w:color="auto" w:fill="F2F2F2"/>
          </w:tcPr>
          <w:p>
            <w:pPr/>
            <w:r>
              <w:t xml:space="preserve">Recall</w:t>
            </w:r>
          </w:p>
        </w:tc>
        <w:tc>
          <w:tcPr>
            <w:tcW w:w="791" w:type="dxa"/>
            <w:shd w:val="clear" w:color="auto" w:fill="F2F2F2"/>
          </w:tcPr>
          <w:p>
            <w:pPr/>
            <w:r>
              <w:t xml:space="preserve">F1</w:t>
            </w:r>
          </w:p>
        </w:tc>
        <w:tc>
          <w:tcPr>
            <w:tcW w:w="1467" w:type="dxa"/>
            <w:shd w:val="clear" w:color="auto" w:fill="F2F2F2"/>
          </w:tcPr>
          <w:p>
            <w:pPr/>
            <w:r>
              <w:t xml:space="preserve">ROC-AUC (hold-out)</w:t>
            </w:r>
          </w:p>
        </w:tc>
        <w:tc>
          <w:tcPr>
            <w:tcW w:w="1518" w:type="dxa"/>
            <w:shd w:val="clear" w:color="auto" w:fill="F2F2F2"/>
          </w:tcPr>
          <w:p>
            <w:pPr/>
            <w:r>
              <w:t xml:space="preserve">ROC-AUC (5-fold CV)</w:t>
            </w:r>
          </w:p>
        </w:tc>
      </w:tr>
      <w:tr>
        <w:tc>
          <w:tcPr>
            <w:tcW w:w="2263" w:type="dxa"/>
          </w:tcPr>
          <w:p>
            <w:pPr/>
            <w:r>
              <w:t xml:space="preserve">Logistic Regression</w:t>
            </w:r>
          </w:p>
        </w:tc>
        <w:tc>
          <w:tcPr>
            <w:tcW w:w="1186" w:type="dxa"/>
          </w:tcPr>
          <w:p>
            <w:pPr/>
            <w:r>
              <w:t xml:space="preserve">0.769</w:t>
            </w:r>
          </w:p>
        </w:tc>
        <w:tc>
          <w:tcPr>
            <w:tcW w:w="1225" w:type="dxa"/>
          </w:tcPr>
          <w:p>
            <w:pPr/>
            <w:r>
              <w:t xml:space="preserve">0.379</w:t>
            </w:r>
          </w:p>
        </w:tc>
        <w:tc>
          <w:tcPr>
            <w:tcW w:w="909" w:type="dxa"/>
          </w:tcPr>
          <w:p>
            <w:pPr/>
            <w:r>
              <w:t xml:space="preserve">0.702</w:t>
            </w:r>
          </w:p>
        </w:tc>
        <w:tc>
          <w:tcPr>
            <w:tcW w:w="791" w:type="dxa"/>
          </w:tcPr>
          <w:p>
            <w:pPr/>
            <w:r>
              <w:t xml:space="preserve">0.493</w:t>
            </w:r>
          </w:p>
        </w:tc>
        <w:tc>
          <w:tcPr>
            <w:tcW w:w="1467" w:type="dxa"/>
          </w:tcPr>
          <w:p>
            <w:pPr/>
            <w:r>
              <w:t xml:space="preserve">0.816</w:t>
            </w:r>
          </w:p>
        </w:tc>
        <w:tc>
          <w:tcPr>
            <w:tcW w:w="1518" w:type="dxa"/>
          </w:tcPr>
          <w:p>
            <w:pPr/>
            <w:r>
              <w:t xml:space="preserve">0.829</w:t>
            </w:r>
          </w:p>
        </w:tc>
      </w:tr>
      <w:tr>
        <w:tc>
          <w:tcPr>
            <w:tcW w:w="2263" w:type="dxa"/>
          </w:tcPr>
          <w:p>
            <w:pPr/>
            <w:r>
              <w:t xml:space="preserve">Random Forest</w:t>
            </w:r>
          </w:p>
        </w:tc>
        <w:tc>
          <w:tcPr>
            <w:tcW w:w="1186" w:type="dxa"/>
          </w:tcPr>
          <w:p>
            <w:pPr/>
            <w:r>
              <w:t xml:space="preserve">0.837</w:t>
            </w:r>
          </w:p>
        </w:tc>
        <w:tc>
          <w:tcPr>
            <w:tcW w:w="1225" w:type="dxa"/>
          </w:tcPr>
          <w:p>
            <w:pPr/>
            <w:r>
              <w:t xml:space="preserve">0.480</w:t>
            </w:r>
          </w:p>
        </w:tc>
        <w:tc>
          <w:tcPr>
            <w:tcW w:w="909" w:type="dxa"/>
          </w:tcPr>
          <w:p>
            <w:pPr/>
            <w:r>
              <w:t xml:space="preserve">0.255</w:t>
            </w:r>
          </w:p>
        </w:tc>
        <w:tc>
          <w:tcPr>
            <w:tcW w:w="791" w:type="dxa"/>
          </w:tcPr>
          <w:p>
            <w:pPr/>
            <w:r>
              <w:t xml:space="preserve">0.333</w:t>
            </w:r>
          </w:p>
        </w:tc>
        <w:tc>
          <w:tcPr>
            <w:tcW w:w="1467" w:type="dxa"/>
          </w:tcPr>
          <w:p>
            <w:pPr/>
            <w:r>
              <w:t xml:space="preserve">0.798</w:t>
            </w:r>
          </w:p>
        </w:tc>
        <w:tc>
          <w:tcPr>
            <w:tcW w:w="1518" w:type="dxa"/>
          </w:tcPr>
          <w:p>
            <w:pPr/>
            <w:r>
              <w:t xml:space="preserve">0.818</w:t>
            </w:r>
          </w:p>
        </w:tc>
      </w:tr>
      <w:tr>
        <w:tc>
          <w:tcPr>
            <w:tcW w:w="2263" w:type="dxa"/>
          </w:tcPr>
          <w:p>
            <w:pPr/>
            <w:r>
              <w:t xml:space="preserve">Gradient Boosting</w:t>
            </w:r>
          </w:p>
        </w:tc>
        <w:tc>
          <w:tcPr>
            <w:tcW w:w="1186" w:type="dxa"/>
          </w:tcPr>
          <w:p>
            <w:pPr/>
            <w:r>
              <w:t xml:space="preserve">0.813</w:t>
            </w:r>
          </w:p>
        </w:tc>
        <w:tc>
          <w:tcPr>
            <w:tcW w:w="1225" w:type="dxa"/>
          </w:tcPr>
          <w:p>
            <w:pPr/>
            <w:r>
              <w:t xml:space="preserve">0.435</w:t>
            </w:r>
          </w:p>
        </w:tc>
        <w:tc>
          <w:tcPr>
            <w:tcW w:w="909" w:type="dxa"/>
          </w:tcPr>
          <w:p>
            <w:pPr/>
            <w:r>
              <w:t xml:space="preserve">0.574</w:t>
            </w:r>
          </w:p>
        </w:tc>
        <w:tc>
          <w:tcPr>
            <w:tcW w:w="791" w:type="dxa"/>
          </w:tcPr>
          <w:p>
            <w:pPr/>
            <w:r>
              <w:t xml:space="preserve">0.495</w:t>
            </w:r>
          </w:p>
        </w:tc>
        <w:tc>
          <w:tcPr>
            <w:tcW w:w="1467" w:type="dxa"/>
          </w:tcPr>
          <w:p>
            <w:pPr/>
            <w:r>
              <w:t xml:space="preserve">0.748</w:t>
            </w:r>
          </w:p>
        </w:tc>
        <w:tc>
          <w:tcPr>
            <w:tcW w:w="1518" w:type="dxa"/>
          </w:tcPr>
          <w:p>
            <w:pPr/>
            <w:r>
              <w:t xml:space="preserve">0.803</w:t>
            </w:r>
          </w:p>
        </w:tc>
      </w:tr>
    </w:tbl>
    <w:p>
      <w:pPr/>
      <w:r>
        <w:t xml:space="preserve">Hold-out metrics use a 0.5 probability threshold on 294 test employees. Logistic Regression has the best ranking power (AUC) and detects the most leavers. Random Forest's higher accuracy is misleading: with 84% of employees staying, a model that rarely predicts attrition scores well on accuracy while missing about three quarters of leavers (recall 0.255). Because the cost of missing a leaver is higher than the cost of an extra retention conversation, recall and AUC are the metrics that matter most here. The advantage of the simple model is plausible given the dataset's small size and mostly additive effects, but with one dataset and one split the gap between models should be read as indicative, not definitive.</w:t>
      </w:r>
    </w:p>
    <w:p>
      <w:pPr>
        <w:pStyle w:val="Heading3"/>
      </w:pPr>
      <w:r>
        <w:t xml:space="preserve">5.2 Risk distribution and validity of the bands</w:t>
      </w:r>
    </w:p>
    <w:tbl>
      <w:tblPr>
        <w:tblStyle w:val="TableGrid"/>
        <w:tblW w:w="0" w:type="auto"/>
        <w:tblLayout w:type="fixed"/>
        <w:tblLook w:val="04A0" w:firstRow="1" w:lastRow="0" w:firstColumn="0" w:lastColumn="0" w:noHBand="0" w:noVBand="1"/>
      </w:tblPr>
      <w:tblGrid>
        <w:gridCol w:w="2031"/>
        <w:gridCol w:w="2232"/>
        <w:gridCol w:w="1408"/>
        <w:gridCol w:w="3686"/>
      </w:tblGrid>
      <w:tr>
        <w:trPr>
          <w:tblHeader/>
        </w:trPr>
        <w:tc>
          <w:tcPr>
            <w:tcW w:w="2031" w:type="dxa"/>
            <w:shd w:val="clear" w:color="auto" w:fill="F2F2F2"/>
          </w:tcPr>
          <w:p>
            <w:pPr/>
            <w:r>
              <w:t xml:space="preserve">Risk band</w:t>
            </w:r>
          </w:p>
        </w:tc>
        <w:tc>
          <w:tcPr>
            <w:tcW w:w="2232" w:type="dxa"/>
            <w:shd w:val="clear" w:color="auto" w:fill="F2F2F2"/>
          </w:tcPr>
          <w:p>
            <w:pPr/>
            <w:r>
              <w:t xml:space="preserve">Employees</w:t>
            </w:r>
          </w:p>
        </w:tc>
        <w:tc>
          <w:tcPr>
            <w:tcW w:w="1408" w:type="dxa"/>
            <w:shd w:val="clear" w:color="auto" w:fill="F2F2F2"/>
          </w:tcPr>
          <w:p>
            <w:pPr/>
            <w:r>
              <w:t xml:space="preserve">Share</w:t>
            </w:r>
          </w:p>
        </w:tc>
        <w:tc>
          <w:tcPr>
            <w:tcW w:w="3686" w:type="dxa"/>
            <w:shd w:val="clear" w:color="auto" w:fill="F2F2F2"/>
          </w:tcPr>
          <w:p>
            <w:pPr/>
            <w:r>
              <w:t xml:space="preserve">Actual attrition rate</w:t>
            </w:r>
          </w:p>
        </w:tc>
      </w:tr>
      <w:tr>
        <w:tc>
          <w:tcPr>
            <w:tcW w:w="2031" w:type="dxa"/>
          </w:tcPr>
          <w:p>
            <w:pPr/>
            <w:r>
              <w:t xml:space="preserve">Low</w:t>
            </w:r>
          </w:p>
        </w:tc>
        <w:tc>
          <w:tcPr>
            <w:tcW w:w="2232" w:type="dxa"/>
          </w:tcPr>
          <w:p>
            <w:pPr/>
            <w:r>
              <w:t xml:space="preserve">709</w:t>
            </w:r>
          </w:p>
        </w:tc>
        <w:tc>
          <w:tcPr>
            <w:tcW w:w="1408" w:type="dxa"/>
          </w:tcPr>
          <w:p>
            <w:pPr/>
            <w:r>
              <w:t xml:space="preserve">48.2%</w:t>
            </w:r>
          </w:p>
        </w:tc>
        <w:tc>
          <w:tcPr>
            <w:tcW w:w="3686" w:type="dxa"/>
          </w:tcPr>
          <w:p>
            <w:pPr/>
            <w:r>
              <w:t xml:space="preserve">3.7%</w:t>
            </w:r>
          </w:p>
        </w:tc>
      </w:tr>
      <w:tr>
        <w:tc>
          <w:tcPr>
            <w:tcW w:w="2031" w:type="dxa"/>
          </w:tcPr>
          <w:p>
            <w:pPr/>
            <w:r>
              <w:t xml:space="preserve">Medium</w:t>
            </w:r>
          </w:p>
        </w:tc>
        <w:tc>
          <w:tcPr>
            <w:tcW w:w="2232" w:type="dxa"/>
          </w:tcPr>
          <w:p>
            <w:pPr/>
            <w:r>
              <w:t xml:space="preserve">438</w:t>
            </w:r>
          </w:p>
        </w:tc>
        <w:tc>
          <w:tcPr>
            <w:tcW w:w="1408" w:type="dxa"/>
          </w:tcPr>
          <w:p>
            <w:pPr/>
            <w:r>
              <w:t xml:space="preserve">29.8%</w:t>
            </w:r>
          </w:p>
        </w:tc>
        <w:tc>
          <w:tcPr>
            <w:tcW w:w="3686" w:type="dxa"/>
          </w:tcPr>
          <w:p>
            <w:pPr/>
            <w:r>
              <w:t xml:space="preserve">14.6%</w:t>
            </w:r>
          </w:p>
        </w:tc>
      </w:tr>
      <w:tr>
        <w:tc>
          <w:tcPr>
            <w:tcW w:w="2031" w:type="dxa"/>
          </w:tcPr>
          <w:p>
            <w:pPr/>
            <w:r>
              <w:t xml:space="preserve">High</w:t>
            </w:r>
          </w:p>
        </w:tc>
        <w:tc>
          <w:tcPr>
            <w:tcW w:w="2232" w:type="dxa"/>
          </w:tcPr>
          <w:p>
            <w:pPr/>
            <w:r>
              <w:t xml:space="preserve">323</w:t>
            </w:r>
          </w:p>
        </w:tc>
        <w:tc>
          <w:tcPr>
            <w:tcW w:w="1408" w:type="dxa"/>
          </w:tcPr>
          <w:p>
            <w:pPr/>
            <w:r>
              <w:t xml:space="preserve">22.0%</w:t>
            </w:r>
          </w:p>
        </w:tc>
        <w:tc>
          <w:tcPr>
            <w:tcW w:w="3686" w:type="dxa"/>
          </w:tcPr>
          <w:p>
            <w:pPr/>
            <w:r>
              <w:t xml:space="preserve">45.5%</w:t>
            </w:r>
          </w:p>
        </w:tc>
      </w:tr>
    </w:tbl>
    <w:p>
      <w:pPr/>
      <w:r>
        <w:t xml:space="preserve">The bands separate cleanly: High-band employees left at about 12 times the rate of Low-band employees. The High band captures 147 of the 237 employees who left (62%), by flagging 22% of the workforce.</w:t>
      </w:r>
    </w:p>
    <w:p>
      <w:pPr>
        <w:pStyle w:val="Heading3"/>
      </w:pPr>
      <w:r>
        <w:t xml:space="preserve">5.3 Drivers of attrition</w:t>
      </w:r>
    </w:p>
    <w:p>
      <w:pPr/>
      <w:r>
        <w:t xml:space="preserve">The largest Logistic Regression effects raising risk are overtime, frequent business travel, a technical-degree education field, laboratory technician and sales representative roles, single marital status and longer recorded tenure given the other variables. Higher monthly income and no business travel lower risk. Individual-level reason codes make these concrete; for example, the highest-scoring employees are typically flagged for overtime, frequent travel and low income relative to experience.</w:t>
      </w:r>
    </w:p>
    <w:p>
      <w:pPr>
        <w:pStyle w:val="Heading3"/>
      </w:pPr>
      <w:r>
        <w:t xml:space="preserve">5.4 Risk by department and role</w:t>
      </w:r>
    </w:p>
    <w:tbl>
      <w:tblPr>
        <w:tblStyle w:val="TableGrid"/>
        <w:tblW w:w="0" w:type="auto"/>
        <w:tblLayout w:type="fixed"/>
        <w:tblLook w:val="04A0" w:firstRow="1" w:lastRow="0" w:firstColumn="0" w:lastColumn="0" w:noHBand="0" w:noVBand="1"/>
      </w:tblPr>
      <w:tblGrid>
        <w:gridCol w:w="4104"/>
        <w:gridCol w:w="1831"/>
        <w:gridCol w:w="3424"/>
      </w:tblGrid>
      <w:tr>
        <w:trPr>
          <w:tblHeader/>
        </w:trPr>
        <w:tc>
          <w:tcPr>
            <w:tcW w:w="4104" w:type="dxa"/>
            <w:shd w:val="clear" w:color="auto" w:fill="F2F2F2"/>
          </w:tcPr>
          <w:p>
            <w:pPr/>
            <w:r>
              <w:t xml:space="preserve">Department</w:t>
            </w:r>
          </w:p>
        </w:tc>
        <w:tc>
          <w:tcPr>
            <w:tcW w:w="1831" w:type="dxa"/>
            <w:shd w:val="clear" w:color="auto" w:fill="F2F2F2"/>
          </w:tcPr>
          <w:p>
            <w:pPr/>
            <w:r>
              <w:t xml:space="preserve">Mean risk</w:t>
            </w:r>
          </w:p>
        </w:tc>
        <w:tc>
          <w:tcPr>
            <w:tcW w:w="3424" w:type="dxa"/>
            <w:shd w:val="clear" w:color="auto" w:fill="F2F2F2"/>
          </w:tcPr>
          <w:p>
            <w:pPr/>
            <w:r>
              <w:t xml:space="preserve">High-risk employees</w:t>
            </w:r>
          </w:p>
        </w:tc>
      </w:tr>
      <w:tr>
        <w:tc>
          <w:tcPr>
            <w:tcW w:w="4104" w:type="dxa"/>
          </w:tcPr>
          <w:p>
            <w:pPr/>
            <w:r>
              <w:t xml:space="preserve">Sales</w:t>
            </w:r>
          </w:p>
        </w:tc>
        <w:tc>
          <w:tcPr>
            <w:tcW w:w="1831" w:type="dxa"/>
          </w:tcPr>
          <w:p>
            <w:pPr/>
            <w:r>
              <w:t xml:space="preserve">43.1%</w:t>
            </w:r>
          </w:p>
        </w:tc>
        <w:tc>
          <w:tcPr>
            <w:tcW w:w="3424" w:type="dxa"/>
          </w:tcPr>
          <w:p>
            <w:pPr/>
            <w:r>
              <w:t xml:space="preserve">133</w:t>
            </w:r>
          </w:p>
        </w:tc>
      </w:tr>
      <w:tr>
        <w:tc>
          <w:tcPr>
            <w:tcW w:w="4104" w:type="dxa"/>
          </w:tcPr>
          <w:p>
            <w:pPr/>
            <w:r>
              <w:t xml:space="preserve">Human Resources</w:t>
            </w:r>
          </w:p>
        </w:tc>
        <w:tc>
          <w:tcPr>
            <w:tcW w:w="1831" w:type="dxa"/>
          </w:tcPr>
          <w:p>
            <w:pPr/>
            <w:r>
              <w:t xml:space="preserve">40.7%</w:t>
            </w:r>
          </w:p>
        </w:tc>
        <w:tc>
          <w:tcPr>
            <w:tcW w:w="3424" w:type="dxa"/>
          </w:tcPr>
          <w:p>
            <w:pPr/>
            <w:r>
              <w:t xml:space="preserve">14</w:t>
            </w:r>
          </w:p>
        </w:tc>
      </w:tr>
      <w:tr>
        <w:tc>
          <w:tcPr>
            <w:tcW w:w="4104" w:type="dxa"/>
          </w:tcPr>
          <w:p>
            <w:pPr/>
            <w:r>
              <w:t xml:space="preserve">Research &amp; Development</w:t>
            </w:r>
          </w:p>
        </w:tc>
        <w:tc>
          <w:tcPr>
            <w:tcW w:w="1831" w:type="dxa"/>
          </w:tcPr>
          <w:p>
            <w:pPr/>
            <w:r>
              <w:t xml:space="preserve">33.7%</w:t>
            </w:r>
          </w:p>
        </w:tc>
        <w:tc>
          <w:tcPr>
            <w:tcW w:w="3424" w:type="dxa"/>
          </w:tcPr>
          <w:p>
            <w:pPr/>
            <w:r>
              <w:t xml:space="preserve">176</w:t>
            </w:r>
          </w:p>
        </w:tc>
      </w:tr>
    </w:tbl>
    <w:p>
      <w:pPr/>
      <w:r>
        <w:t xml:space="preserve">By role, mean predicted risk is highest for Sales Representatives (64.3%), Laboratory Technicians (47.0%), Human Resources (44.9%) and Sales Executives (39.9%), and lowest for Research Directors (16.4%) and Managers (19.1%). R&amp;D holds the most high-risk employees in absolute terms simply because it is the largest department.</w:t>
      </w:r>
    </w:p>
    <w:p>
      <w:pPr>
        <w:pStyle w:val="Heading2"/>
      </w:pPr>
      <w:r>
        <w:t xml:space="preserve">6. Dashboard</w:t>
      </w:r>
    </w:p>
    <w:p>
      <w:pPr/>
      <w:r>
        <w:t xml:space="preserve">The Streamlit application delivers four modules: an Attrition Risk Dashboard (risk distribution, high-risk counts, top-risk list), an Employee Risk Profile (selected employee's probability, category and key factors), a Department-Level Risk view (aggregates by department and role), and an Explainability panel (global drivers and what-if scenarios that re-score an employee after changing overtime, travel, satisfaction, work-life balance, stock options, income or promotion gap). Users can filter by department and role, move risk thresholds with a slider and select an employee by ID.</w:t>
      </w:r>
    </w:p>
    <w:p>
      <w:pPr>
        <w:pStyle w:val="Heading2"/>
      </w:pPr>
      <w:r>
        <w:t xml:space="preserve">7. Recommendations</w:t>
      </w:r>
    </w:p>
    <w:p>
      <w:pPr>
        <w:pStyle w:val="ListParagraph"/>
        <w:numPr>
          <w:ilvl w:val="0"/>
          <w:numId w:val="4"/>
        </w:numPr>
      </w:pPr>
      <w:r>
        <w:rPr>
          <w:b/>
        </w:rPr>
        <w:t xml:space="preserve">Target interventions by band.</w:t>
      </w:r>
      <w:r>
        <w:t xml:space="preserve"> Prioritise the 323 High-band employees for stay conversations, with managers briefed on the individual reason codes. Review Medium-band employees quarterly.</w:t>
      </w:r>
    </w:p>
    <w:p>
      <w:pPr>
        <w:pStyle w:val="ListParagraph"/>
        <w:numPr>
          <w:ilvl w:val="0"/>
          <w:numId w:val="4"/>
        </w:numPr>
      </w:pPr>
      <w:r>
        <w:rPr>
          <w:b/>
        </w:rPr>
        <w:t xml:space="preserve">Address overtime and travel.</w:t>
      </w:r>
      <w:r>
        <w:t xml:space="preserve"> These are the strongest modifiable drivers. Cap sustained overtime, rotate travel loads, and monitor employees who combine overtime with poor work-life balance.</w:t>
      </w:r>
    </w:p>
    <w:p>
      <w:pPr>
        <w:pStyle w:val="ListParagraph"/>
        <w:numPr>
          <w:ilvl w:val="0"/>
          <w:numId w:val="4"/>
        </w:numPr>
      </w:pPr>
      <w:r>
        <w:rPr>
          <w:b/>
        </w:rPr>
        <w:t xml:space="preserve">Focus on early tenure.</w:t>
      </w:r>
      <w:r>
        <w:t xml:space="preserve"> Attrition is about 30% in the first two years. Strengthen onboarding, assign mentors and check in at the 6- and 12-month marks.</w:t>
      </w:r>
    </w:p>
    <w:p>
      <w:pPr>
        <w:pStyle w:val="ListParagraph"/>
        <w:numPr>
          <w:ilvl w:val="0"/>
          <w:numId w:val="4"/>
        </w:numPr>
      </w:pPr>
      <w:r>
        <w:rPr>
          <w:b/>
        </w:rPr>
        <w:t xml:space="preserve">Review pay and stock for entry-level and Sales Representative roles.</w:t>
      </w:r>
      <w:r>
        <w:t xml:space="preserve"> The lowest income quartile and the zero-stock group leave at roughly 24–29%, and Sales Representatives at about 40%.</w:t>
      </w:r>
    </w:p>
    <w:p>
      <w:pPr>
        <w:pStyle w:val="ListParagraph"/>
        <w:numPr>
          <w:ilvl w:val="0"/>
          <w:numId w:val="4"/>
        </w:numPr>
      </w:pPr>
      <w:r>
        <w:rPr>
          <w:b/>
        </w:rPr>
        <w:t xml:space="preserve">Use the what-if tool before offering retention packages</w:t>
      </w:r>
      <w:r>
        <w:t xml:space="preserve">, to see which lever moves an individual's risk most.</w:t>
      </w:r>
    </w:p>
    <w:p>
      <w:pPr>
        <w:pStyle w:val="ListParagraph"/>
        <w:numPr>
          <w:ilvl w:val="0"/>
          <w:numId w:val="4"/>
        </w:numPr>
      </w:pPr>
      <w:r>
        <w:rPr>
          <w:b/>
        </w:rPr>
        <w:t xml:space="preserve">Operationalise the model.</w:t>
      </w:r>
      <w:r>
        <w:t xml:space="preserve"> Re-score monthly, retrain at least annually, and track whether flagged employees who received interventions stayed.</w:t>
      </w:r>
    </w:p>
    <w:p>
      <w:pPr>
        <w:pStyle w:val="Heading2"/>
      </w:pPr>
      <w:r>
        <w:t xml:space="preserve">8. Limitations and Ethical Considerations</w:t>
      </w:r>
    </w:p>
    <w:p>
      <w:pPr>
        <w:pStyle w:val="ListParagraph"/>
        <w:numPr>
          <w:ilvl w:val="0"/>
          <w:numId w:val="5"/>
        </w:numPr>
      </w:pPr>
      <w:r>
        <w:rPr>
          <w:b/>
        </w:rPr>
        <w:t xml:space="preserve">Association, not causation.</w:t>
      </w:r>
      <w:r>
        <w:t xml:space="preserve"> The data are a single snapshot; the model ranks risk but cannot prove that changing a factor will change behaviour. The what-if tool shows model sensitivity only.</w:t>
      </w:r>
    </w:p>
    <w:p>
      <w:pPr>
        <w:pStyle w:val="ListParagraph"/>
        <w:numPr>
          <w:ilvl w:val="0"/>
          <w:numId w:val="5"/>
        </w:numPr>
      </w:pPr>
      <w:r>
        <w:rPr>
          <w:b/>
        </w:rPr>
        <w:t xml:space="preserve">Probability calibration.</w:t>
      </w:r>
      <w:r>
        <w:t xml:space="preserve"> Class weighting inflates predicted probabilities (the mean score is well above the 16.1% base rate), so scores are best read as relative risk rankings. Calibrating the scores before using the 30% and 60% cut-offs as literal probabilities is recommended.</w:t>
      </w:r>
    </w:p>
    <w:p>
      <w:pPr>
        <w:pStyle w:val="ListParagraph"/>
        <w:numPr>
          <w:ilvl w:val="0"/>
          <w:numId w:val="5"/>
        </w:numPr>
      </w:pPr>
      <w:r>
        <w:rPr>
          <w:b/>
        </w:rPr>
        <w:t xml:space="preserve">Moderate precision.</w:t>
      </w:r>
      <w:r>
        <w:t xml:space="preserve"> In the High band, 54.5% of flagged employees did not leave. Scores should open a conversation, not trigger decisions about pay, promotion or termination.</w:t>
      </w:r>
    </w:p>
    <w:p>
      <w:pPr>
        <w:pStyle w:val="ListParagraph"/>
        <w:numPr>
          <w:ilvl w:val="0"/>
          <w:numId w:val="5"/>
        </w:numPr>
      </w:pPr>
      <w:r>
        <w:rPr>
          <w:b/>
        </w:rPr>
        <w:t xml:space="preserve">Fairness.</w:t>
      </w:r>
      <w:r>
        <w:t xml:space="preserve"> Age, gender and marital status are available to the model and correlate with attrition. They should be audited for disparate impact and considered for exclusion before any production use, and risk scores should never be used to penalise employees.</w:t>
      </w:r>
    </w:p>
    <w:p>
      <w:pPr>
        <w:pStyle w:val="ListParagraph"/>
        <w:numPr>
          <w:ilvl w:val="0"/>
          <w:numId w:val="5"/>
        </w:numPr>
      </w:pPr>
      <w:r>
        <w:rPr>
          <w:b/>
        </w:rPr>
        <w:t xml:space="preserve">Privacy and transparency.</w:t>
      </w:r>
      <w:r>
        <w:t xml:space="preserve"> Individual risk scores are sensitive. Access should be limited to authorised HR staff, and the use of the model should be disclosed in line with company policy and applicable law.</w:t>
      </w:r>
    </w:p>
    <w:p>
      <w:pPr>
        <w:pStyle w:val="ListParagraph"/>
        <w:numPr>
          <w:ilvl w:val="0"/>
          <w:numId w:val="5"/>
        </w:numPr>
      </w:pPr>
      <w:r>
        <w:rPr>
          <w:b/>
        </w:rPr>
        <w:t xml:space="preserve">Data scope.</w:t>
      </w:r>
      <w:r>
        <w:t xml:space="preserve"> Results come from one 1,470-record dataset with no time dimension; performance on the real workforce must be validated before deployment.</w:t>
      </w:r>
    </w:p>
    <w:p>
      <w:pPr>
        <w:pStyle w:val="Heading2"/>
      </w:pPr>
      <w:r>
        <w:t xml:space="preserve">9. Conclusion</w:t>
      </w:r>
    </w:p>
    <w:p>
      <w:pPr/>
      <w:r>
        <w:t xml:space="preserve">The project moves HR analytics from describing past attrition to predicting it. A transparent Logistic Regression model with engineered features ranks employees well (CV ROC-AUC 0.829), produces risk bands that track real outcomes (3.7%, 14.6% and 45.5% attrition across Low, Medium and High) and explains each score with reason codes. Combined with the dashboard, it lets HR leaders move from reactive counter-offers to proactive, employee-centric retention, provided the scores are used as decision support, audited for fairness and validated on live data.</w:t>
      </w:r>
    </w:p>
    <w:p>
      <w:pPr>
        <w:pStyle w:val="Heading2"/>
      </w:pPr>
      <w:r>
        <w:t xml:space="preserve">Appendix: Reproducibility</w:t>
      </w:r>
    </w:p>
    <w:p>
      <w:pPr/>
      <w:r>
        <w:t xml:space="preserve">Code (</w:t>
      </w:r>
      <w:r>
        <w:rPr>
          <w:rStyle w:val="CodeChar"/>
        </w:rPr>
        <w:t xml:space="preserve">train.py</w:t>
      </w:r>
      <w:r>
        <w:t xml:space="preserve">, </w:t>
      </w:r>
      <w:r>
        <w:rPr>
          <w:rStyle w:val="CodeChar"/>
        </w:rPr>
        <w:t xml:space="preserve">attrition_core.py</w:t>
      </w:r>
      <w:r>
        <w:t xml:space="preserve">, </w:t>
      </w:r>
      <w:r>
        <w:rPr>
          <w:rStyle w:val="CodeChar"/>
        </w:rPr>
        <w:t xml:space="preserve">app.py</w:t>
      </w:r>
      <w:r>
        <w:t xml:space="preserve">) trains the models, writes </w:t>
      </w:r>
      <w:r>
        <w:rPr>
          <w:rStyle w:val="CodeChar"/>
        </w:rPr>
        <w:t xml:space="preserve">data/scored_employees.csv</w:t>
      </w:r>
      <w:r>
        <w:t xml:space="preserve"> and </w:t>
      </w:r>
      <w:r>
        <w:rPr>
          <w:rStyle w:val="CodeChar"/>
        </w:rPr>
        <w:t xml:space="preserve">models/attrition_model.joblib</w:t>
      </w:r>
      <w:r>
        <w:t xml:space="preserve">, and launches the dashboard with </w:t>
      </w:r>
      <w:r>
        <w:rPr>
          <w:rStyle w:val="CodeChar"/>
        </w:rPr>
        <w:t xml:space="preserve">streamlit run app.py</w:t>
      </w:r>
      <w:r>
        <w:t xml:space="preserve">. All random seeds are fixed at 42.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Machine Learning–Based Employee Attrition Prediction and Risk Scoring System</dc:title>
  <dc:description>Claude Docs node/16b9904b-330c@3 docx-w7</dc:description>
  <cp:revision>3</cp:revision>
</cp:coreProperties>
</file>