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DE1" w:rsidRDefault="00B66192">
      <w:pPr>
        <w:pStyle w:val="Standard"/>
        <w:jc w:val="center"/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>Apuntes previos para reunión miRNAs 11/05/2021</w:t>
      </w:r>
    </w:p>
    <w:p w:rsidR="00C00DE1" w:rsidRDefault="00C00DE1">
      <w:pPr>
        <w:pStyle w:val="Standard"/>
      </w:pPr>
    </w:p>
    <w:p w:rsidR="00C00DE1" w:rsidRDefault="00B66192">
      <w:pPr>
        <w:pStyle w:val="Standard"/>
      </w:pPr>
      <w:r>
        <w:t>Temas a mirar:</w:t>
      </w:r>
    </w:p>
    <w:p w:rsidR="00C00DE1" w:rsidRDefault="00B66192">
      <w:pPr>
        <w:pStyle w:val="Standard"/>
        <w:numPr>
          <w:ilvl w:val="0"/>
          <w:numId w:val="1"/>
        </w:numPr>
      </w:pPr>
      <w:r>
        <w:t>Enriquecimiento génico de miRNAs y bases de datos</w:t>
      </w:r>
    </w:p>
    <w:p w:rsidR="00C00DE1" w:rsidRDefault="00C00DE1">
      <w:pPr>
        <w:pStyle w:val="Standard"/>
      </w:pPr>
    </w:p>
    <w:p w:rsidR="00C00DE1" w:rsidRDefault="00B66192">
      <w:pPr>
        <w:pStyle w:val="Standard"/>
        <w:numPr>
          <w:ilvl w:val="0"/>
          <w:numId w:val="1"/>
        </w:numPr>
      </w:pPr>
      <w:r>
        <w:t xml:space="preserve">STAR o tophat2 para mapeado miRNAs (Agradecimiento a Oswaldo por la </w:t>
      </w:r>
      <w:r>
        <w:t>recomendación de STAR)</w:t>
      </w:r>
    </w:p>
    <w:p w:rsidR="00C00DE1" w:rsidRDefault="00C00DE1">
      <w:pPr>
        <w:pStyle w:val="Standard"/>
      </w:pPr>
    </w:p>
    <w:p w:rsidR="00C00DE1" w:rsidRDefault="00B66192">
      <w:pPr>
        <w:pStyle w:val="Standard"/>
        <w:numPr>
          <w:ilvl w:val="0"/>
          <w:numId w:val="1"/>
        </w:numPr>
      </w:pPr>
      <w:r>
        <w:t>Mirar artículos sobre mapeado de miRNAs, ver las herramientas que usan y buscarlas en GitHub. Si no tienen GitHub, olvídate de usarla (ver punto 2).</w:t>
      </w:r>
    </w:p>
    <w:p w:rsidR="00C00DE1" w:rsidRDefault="00C00DE1">
      <w:pPr>
        <w:pStyle w:val="Standard"/>
      </w:pPr>
    </w:p>
    <w:p w:rsidR="00C00DE1" w:rsidRDefault="00B66192">
      <w:pPr>
        <w:pStyle w:val="Standard"/>
        <w:numPr>
          <w:ilvl w:val="0"/>
          <w:numId w:val="1"/>
        </w:numPr>
        <w:spacing w:line="360" w:lineRule="auto"/>
      </w:pPr>
      <w:r>
        <w:t>Buscar targets de regulación de los miRNAs de interés (ver punto 1)</w:t>
      </w:r>
    </w:p>
    <w:p w:rsidR="00C00DE1" w:rsidRDefault="00C00DE1">
      <w:pPr>
        <w:pStyle w:val="Standard"/>
      </w:pPr>
    </w:p>
    <w:p w:rsidR="00C00DE1" w:rsidRDefault="00C00DE1">
      <w:pPr>
        <w:pStyle w:val="Standard"/>
      </w:pPr>
    </w:p>
    <w:p w:rsidR="00C00DE1" w:rsidRDefault="00C00DE1">
      <w:pPr>
        <w:pStyle w:val="Standard"/>
      </w:pPr>
    </w:p>
    <w:p w:rsidR="00C00DE1" w:rsidRDefault="00B66192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Punto 1 – E</w:t>
      </w:r>
      <w:r>
        <w:rPr>
          <w:b/>
          <w:bCs/>
          <w:sz w:val="32"/>
          <w:szCs w:val="32"/>
        </w:rPr>
        <w:t>nriquecimiento génico y BBDD</w:t>
      </w:r>
    </w:p>
    <w:p w:rsidR="00C00DE1" w:rsidRDefault="00C00DE1">
      <w:pPr>
        <w:pStyle w:val="Standard"/>
      </w:pPr>
    </w:p>
    <w:p w:rsidR="00C00DE1" w:rsidRDefault="00B66192">
      <w:pPr>
        <w:pStyle w:val="Standard"/>
      </w:pPr>
      <w:r>
        <w:rPr>
          <w:i/>
          <w:iCs/>
        </w:rPr>
        <w:t>Fuentes:</w:t>
      </w:r>
    </w:p>
    <w:p w:rsidR="00C00DE1" w:rsidRDefault="00B66192">
      <w:pPr>
        <w:pStyle w:val="Standard"/>
        <w:numPr>
          <w:ilvl w:val="0"/>
          <w:numId w:val="2"/>
        </w:numPr>
        <w:spacing w:line="360" w:lineRule="auto"/>
      </w:pPr>
      <w:hyperlink r:id="rId7" w:history="1">
        <w:r>
          <w:t>http://www.mirbase.org/blog/2018/06/microrna-gene-ontology-annotations/</w:t>
        </w:r>
      </w:hyperlink>
    </w:p>
    <w:p w:rsidR="00C00DE1" w:rsidRDefault="00B66192">
      <w:pPr>
        <w:pStyle w:val="Standard"/>
        <w:numPr>
          <w:ilvl w:val="0"/>
          <w:numId w:val="2"/>
        </w:numPr>
      </w:pPr>
      <w:hyperlink r:id="rId8" w:history="1">
        <w:r>
          <w:t>https://www.ucl.ac.uk/cardiovascular/research/pre-clinical-and-fundamental-science/functional-gene-annotation/m</w:t>
        </w:r>
        <w:r>
          <w:t>icrorna-annotation</w:t>
        </w:r>
      </w:hyperlink>
    </w:p>
    <w:p w:rsidR="00C00DE1" w:rsidRDefault="00C00DE1">
      <w:pPr>
        <w:pStyle w:val="Standard"/>
      </w:pPr>
    </w:p>
    <w:p w:rsidR="00C00DE1" w:rsidRDefault="00B66192">
      <w:pPr>
        <w:pStyle w:val="Standard"/>
        <w:numPr>
          <w:ilvl w:val="0"/>
          <w:numId w:val="2"/>
        </w:numPr>
      </w:pPr>
      <w:hyperlink r:id="rId9" w:history="1">
        <w:r>
          <w:t>https://www.abcam.com/kits/microrna-database-and-target-predictor-resources</w:t>
        </w:r>
      </w:hyperlink>
    </w:p>
    <w:p w:rsidR="00C00DE1" w:rsidRDefault="00C00DE1">
      <w:pPr>
        <w:pStyle w:val="Standard"/>
      </w:pPr>
    </w:p>
    <w:p w:rsidR="00C00DE1" w:rsidRDefault="00B66192">
      <w:pPr>
        <w:pStyle w:val="Standard"/>
      </w:pPr>
      <w:r>
        <w:t xml:space="preserve">La BBDD </w:t>
      </w:r>
      <w:hyperlink r:id="rId10" w:history="1">
        <w:r>
          <w:t>miRBase</w:t>
        </w:r>
      </w:hyperlink>
      <w:r>
        <w:t xml:space="preserve"> empezó a </w:t>
      </w:r>
      <w:r>
        <w:t xml:space="preserve">incorporar la anotación génica de varios miRNAs a partir de junio de 2018 bajo la sección "QuickGO function". Estas anotaciones están curadas manualmente y provienen de fuentes primarias, siendo la fuente principal el extenso trabajo de </w:t>
      </w:r>
      <w:hyperlink r:id="rId11" w:history="1">
        <w:r>
          <w:t xml:space="preserve">Rachael Huntley </w:t>
        </w:r>
      </w:hyperlink>
      <w:hyperlink r:id="rId12" w:history="1">
        <w:r>
          <w:rPr>
            <w:i/>
            <w:iCs/>
          </w:rPr>
          <w:t xml:space="preserve">et al. </w:t>
        </w:r>
      </w:hyperlink>
      <w:hyperlink r:id="rId13" w:history="1">
        <w:r>
          <w:t>(2018)</w:t>
        </w:r>
      </w:hyperlink>
      <w:r>
        <w:t xml:space="preserve"> del </w:t>
      </w:r>
      <w:r>
        <w:rPr>
          <w:b/>
          <w:bCs/>
        </w:rPr>
        <w:t>UCL Functional Gene Annonation Group</w:t>
      </w:r>
      <w:r>
        <w:t xml:space="preserve"> (Reino Unido</w:t>
      </w:r>
      <w:r>
        <w:t xml:space="preserve">). La ontología empleada fue la base de datos </w:t>
      </w:r>
      <w:hyperlink r:id="rId14" w:history="1">
        <w:r>
          <w:t>QuickGO</w:t>
        </w:r>
      </w:hyperlink>
      <w:r>
        <w:t xml:space="preserve"> del EBI. En el blog de mirbase también se menciona la base de datos </w:t>
      </w:r>
      <w:hyperlink r:id="rId15" w:history="1">
        <w:r>
          <w:t>RNAcentral</w:t>
        </w:r>
      </w:hyperlink>
      <w:r>
        <w:t xml:space="preserve">, la cual también dispone de </w:t>
      </w:r>
      <w:r>
        <w:rPr>
          <w:b/>
          <w:bCs/>
        </w:rPr>
        <w:t>microR</w:t>
      </w:r>
      <w:r>
        <w:rPr>
          <w:b/>
          <w:bCs/>
        </w:rPr>
        <w:t>NAs anotados</w:t>
      </w:r>
      <w:r>
        <w:t xml:space="preserve"> con QuickGO, sus </w:t>
      </w:r>
      <w:r>
        <w:rPr>
          <w:b/>
          <w:bCs/>
        </w:rPr>
        <w:t>targets</w:t>
      </w:r>
      <w:r>
        <w:t xml:space="preserve">, </w:t>
      </w:r>
      <w:r>
        <w:rPr>
          <w:b/>
          <w:bCs/>
        </w:rPr>
        <w:t>interacciones</w:t>
      </w:r>
      <w:r>
        <w:t xml:space="preserve"> con biomoléculas y su </w:t>
      </w:r>
      <w:r>
        <w:rPr>
          <w:b/>
          <w:bCs/>
        </w:rPr>
        <w:t>localización genómica</w:t>
      </w:r>
      <w:r>
        <w:t>.</w:t>
      </w:r>
    </w:p>
    <w:p w:rsidR="00C00DE1" w:rsidRDefault="00C00DE1">
      <w:pPr>
        <w:pStyle w:val="Standard"/>
      </w:pPr>
    </w:p>
    <w:p w:rsidR="00C00DE1" w:rsidRDefault="00B66192">
      <w:pPr>
        <w:pStyle w:val="Standard"/>
      </w:pPr>
      <w:r>
        <w:t xml:space="preserve">Otra base de datos interesantes es </w:t>
      </w:r>
      <w:hyperlink r:id="rId16" w:history="1">
        <w:r>
          <w:t>miRDB</w:t>
        </w:r>
      </w:hyperlink>
      <w:r>
        <w:t>.</w:t>
      </w:r>
    </w:p>
    <w:p w:rsidR="00C00DE1" w:rsidRDefault="00C00DE1">
      <w:pPr>
        <w:pStyle w:val="Standard"/>
      </w:pPr>
    </w:p>
    <w:p w:rsidR="00C00DE1" w:rsidRDefault="00B66192">
      <w:pPr>
        <w:pStyle w:val="Standard"/>
      </w:pPr>
      <w:r>
        <w:t xml:space="preserve">Por último, </w:t>
      </w:r>
      <w:hyperlink r:id="rId17" w:history="1">
        <w:r>
          <w:t>Abcam</w:t>
        </w:r>
      </w:hyperlink>
      <w:r>
        <w:t xml:space="preserve"> ofrece un índice de bases de datos de miRNAs, software de predicción de targets y herramientas para miRNA-seq.</w:t>
      </w:r>
    </w:p>
    <w:p w:rsidR="00C00DE1" w:rsidRDefault="00C00DE1">
      <w:pPr>
        <w:pStyle w:val="Standard"/>
      </w:pPr>
    </w:p>
    <w:p w:rsidR="00C00DE1" w:rsidRDefault="00C00DE1">
      <w:pPr>
        <w:pStyle w:val="Standard"/>
      </w:pPr>
    </w:p>
    <w:p w:rsidR="00C00DE1" w:rsidRDefault="00C00DE1">
      <w:pPr>
        <w:pStyle w:val="Standard"/>
      </w:pPr>
    </w:p>
    <w:p w:rsidR="00C00DE1" w:rsidRDefault="00C00DE1">
      <w:pPr>
        <w:pStyle w:val="Standard"/>
      </w:pPr>
    </w:p>
    <w:p w:rsidR="00C00DE1" w:rsidRDefault="00B66192">
      <w:pPr>
        <w:pStyle w:val="Standard"/>
      </w:pPr>
      <w:r>
        <w:t>Información extensa sobre miRNAs desarrollad</w:t>
      </w:r>
      <w:r>
        <w:t xml:space="preserve">o por el grupo de Rachael Huntley </w:t>
      </w:r>
      <w:r>
        <w:rPr>
          <w:i/>
          <w:iCs/>
        </w:rPr>
        <w:t>et al.</w:t>
      </w:r>
      <w:r>
        <w:t xml:space="preserve">: </w:t>
      </w:r>
      <w:hyperlink r:id="rId18" w:history="1">
        <w:r>
          <w:t>http://wiki.geneontology.org/index.php/MicroRNA_GO_annotation_manual</w:t>
        </w:r>
      </w:hyperlink>
      <w:r>
        <w:t xml:space="preserve"> En dicho trabajo, la autora recomienda usar los identificad</w:t>
      </w:r>
      <w:r>
        <w:t>ores de RNAcentral para buscar las anotaciones de los diversos miRNAs, como por ejemplo URS000039ED8D_9606 para el miRNA humano miR-21. No obstante, también se admite usar el identificador de Ensembl, por ejemplo, Ensembl:ENSG00000136158 para el gen humano</w:t>
      </w:r>
      <w:r>
        <w:t xml:space="preserve"> SPRY2.  </w:t>
      </w:r>
    </w:p>
    <w:p w:rsidR="00C00DE1" w:rsidRDefault="00C00DE1">
      <w:pPr>
        <w:pStyle w:val="Standard"/>
      </w:pPr>
    </w:p>
    <w:p w:rsidR="00C00DE1" w:rsidRDefault="00C00DE1">
      <w:pPr>
        <w:pStyle w:val="Standard"/>
      </w:pPr>
    </w:p>
    <w:p w:rsidR="00C00DE1" w:rsidRDefault="00B66192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Punto 2 – Mapeado a genoma de referencia</w:t>
      </w:r>
    </w:p>
    <w:p w:rsidR="00C00DE1" w:rsidRDefault="00C00DE1">
      <w:pPr>
        <w:pStyle w:val="Standard"/>
      </w:pPr>
    </w:p>
    <w:p w:rsidR="00C00DE1" w:rsidRDefault="00B66192">
      <w:pPr>
        <w:pStyle w:val="Standard"/>
      </w:pPr>
      <w:r>
        <w:rPr>
          <w:i/>
          <w:iCs/>
        </w:rPr>
        <w:t>Fuentes:</w:t>
      </w:r>
    </w:p>
    <w:p w:rsidR="00C00DE1" w:rsidRDefault="00B66192">
      <w:pPr>
        <w:pStyle w:val="Standard"/>
        <w:numPr>
          <w:ilvl w:val="0"/>
          <w:numId w:val="2"/>
        </w:numPr>
      </w:pPr>
      <w:r>
        <w:t>Osvaldas Vainauskas, doctorando del UCL Cancer Institute (</w:t>
      </w:r>
      <w:hyperlink r:id="rId19" w:history="1">
        <w:r>
          <w:t>https://www.linkedin.com/in/osvaldas-vainauskas-42a137195/</w:t>
        </w:r>
      </w:hyperlink>
      <w:r>
        <w:t>)</w:t>
      </w:r>
    </w:p>
    <w:p w:rsidR="00C00DE1" w:rsidRDefault="00C00DE1">
      <w:pPr>
        <w:pStyle w:val="Standard"/>
      </w:pPr>
    </w:p>
    <w:p w:rsidR="00C00DE1" w:rsidRDefault="00B66192">
      <w:pPr>
        <w:pStyle w:val="Standard"/>
        <w:numPr>
          <w:ilvl w:val="0"/>
          <w:numId w:val="2"/>
        </w:numPr>
      </w:pPr>
      <w:r>
        <w:t xml:space="preserve">Documentación TopHat2: </w:t>
      </w:r>
      <w:hyperlink r:id="rId20" w:history="1">
        <w:r>
          <w:t>https://github.com/infphilo/tophat</w:t>
        </w:r>
      </w:hyperlink>
    </w:p>
    <w:p w:rsidR="00C00DE1" w:rsidRDefault="00C00DE1">
      <w:pPr>
        <w:pStyle w:val="Standard"/>
      </w:pPr>
    </w:p>
    <w:p w:rsidR="00C00DE1" w:rsidRDefault="00B66192">
      <w:pPr>
        <w:pStyle w:val="Standard"/>
        <w:numPr>
          <w:ilvl w:val="0"/>
          <w:numId w:val="2"/>
        </w:numPr>
      </w:pPr>
      <w:r>
        <w:t xml:space="preserve">Documentacion STAR: </w:t>
      </w:r>
      <w:hyperlink r:id="rId21" w:history="1">
        <w:r>
          <w:t>https://github.com/alexdobin/STAR</w:t>
        </w:r>
      </w:hyperlink>
    </w:p>
    <w:p w:rsidR="00C00DE1" w:rsidRDefault="00C00DE1">
      <w:pPr>
        <w:pStyle w:val="Standard"/>
      </w:pPr>
    </w:p>
    <w:p w:rsidR="00C00DE1" w:rsidRDefault="00B66192">
      <w:pPr>
        <w:pStyle w:val="Standard"/>
        <w:numPr>
          <w:ilvl w:val="0"/>
          <w:numId w:val="2"/>
        </w:numPr>
      </w:pPr>
      <w:r>
        <w:t xml:space="preserve">Ziemann </w:t>
      </w:r>
      <w:r>
        <w:rPr>
          <w:i/>
          <w:iCs/>
        </w:rPr>
        <w:t>et al.</w:t>
      </w:r>
      <w:r>
        <w:t xml:space="preserve">, 2016: </w:t>
      </w:r>
      <w:hyperlink r:id="rId22" w:history="1">
        <w:r>
          <w:t>https://www.ncbi.nlm.nih.gov/pmc/articles/PMC4931105/</w:t>
        </w:r>
      </w:hyperlink>
    </w:p>
    <w:p w:rsidR="00C00DE1" w:rsidRDefault="00C00DE1">
      <w:pPr>
        <w:pStyle w:val="Standard"/>
      </w:pPr>
    </w:p>
    <w:p w:rsidR="00C00DE1" w:rsidRDefault="00C00DE1">
      <w:pPr>
        <w:pStyle w:val="Standard"/>
      </w:pPr>
    </w:p>
    <w:p w:rsidR="00C00DE1" w:rsidRDefault="00B66192">
      <w:pPr>
        <w:pStyle w:val="Standard"/>
      </w:pPr>
      <w:r>
        <w:t>TopHat2 es un mapeador rápido para lecturas provenientes de RNA-seq, capaz de realizar alineamientos de tipo "gapped" (</w:t>
      </w:r>
      <w:r>
        <w:rPr>
          <w:i/>
          <w:iCs/>
        </w:rPr>
        <w:t>i.e.</w:t>
      </w:r>
      <w:r>
        <w:t xml:space="preserve"> puede procesar lecturas provienientes de varios exones).</w:t>
      </w:r>
    </w:p>
    <w:p w:rsidR="00C00DE1" w:rsidRDefault="00C00DE1">
      <w:pPr>
        <w:pStyle w:val="Standard"/>
      </w:pPr>
    </w:p>
    <w:p w:rsidR="00C00DE1" w:rsidRDefault="00B66192">
      <w:pPr>
        <w:pStyle w:val="Standard"/>
      </w:pPr>
      <w:r>
        <w:t xml:space="preserve">No obstante, Osvaldas Vainauskas recomienda emplear el mapeador ultrarrápido de alta precisión STAR, cuyos autores dicen que es </w:t>
      </w:r>
      <w:hyperlink r:id="rId23" w:history="1">
        <w:r>
          <w:t>50 veces más rápido que otros mapeadores</w:t>
        </w:r>
      </w:hyperlink>
      <w:r>
        <w:t>, y también funciona para alineamientos de RNA-seq con huecos.</w:t>
      </w:r>
    </w:p>
    <w:p w:rsidR="00C00DE1" w:rsidRDefault="00C00DE1">
      <w:pPr>
        <w:pStyle w:val="Standard"/>
      </w:pPr>
    </w:p>
    <w:p w:rsidR="00C00DE1" w:rsidRDefault="00B66192">
      <w:pPr>
        <w:pStyle w:val="Standard"/>
      </w:pPr>
      <w:r>
        <w:t xml:space="preserve">En el trabajo de Ziemann </w:t>
      </w:r>
      <w:r>
        <w:rPr>
          <w:i/>
          <w:iCs/>
        </w:rPr>
        <w:t>et al.</w:t>
      </w:r>
      <w:r>
        <w:t xml:space="preserve"> (2016) provee una valiosa revisión actualizada de algunos alineadores comunes empleados en el ámbito de los m</w:t>
      </w:r>
      <w:r>
        <w:t>iRNAs.</w:t>
      </w:r>
    </w:p>
    <w:p w:rsidR="00C00DE1" w:rsidRDefault="00C00DE1">
      <w:pPr>
        <w:pStyle w:val="Standard"/>
      </w:pPr>
    </w:p>
    <w:p w:rsidR="00C00DE1" w:rsidRDefault="00C00DE1">
      <w:pPr>
        <w:pStyle w:val="Standard"/>
      </w:pPr>
    </w:p>
    <w:p w:rsidR="00C00DE1" w:rsidRDefault="00C00DE1">
      <w:pPr>
        <w:pStyle w:val="Standard"/>
      </w:pPr>
    </w:p>
    <w:p w:rsidR="00C00DE1" w:rsidRDefault="00B66192">
      <w:pPr>
        <w:pStyle w:val="Standard"/>
      </w:pPr>
      <w:r>
        <w:t>-----------------------------------------------------------------------------------------------------------------------</w:t>
      </w:r>
    </w:p>
    <w:p w:rsidR="00C00DE1" w:rsidRDefault="00B66192">
      <w:pPr>
        <w:pStyle w:val="Standard"/>
      </w:pPr>
      <w:r>
        <w:t>Información aportada por Gambini:</w:t>
      </w:r>
    </w:p>
    <w:p w:rsidR="00C00DE1" w:rsidRDefault="00B66192">
      <w:pPr>
        <w:pStyle w:val="Standard"/>
      </w:pPr>
      <w:r>
        <w:t>-Las células se comunican por microvesículas cargadas del contenido del citoplasma, además d</w:t>
      </w:r>
      <w:r>
        <w:t>e por tight junctions, desmosomas y demases</w:t>
      </w:r>
    </w:p>
    <w:p w:rsidR="00C00DE1" w:rsidRDefault="00C00DE1">
      <w:pPr>
        <w:pStyle w:val="Standard"/>
      </w:pPr>
    </w:p>
    <w:p w:rsidR="00C00DE1" w:rsidRDefault="00B66192">
      <w:pPr>
        <w:pStyle w:val="Standard"/>
      </w:pPr>
      <w:r>
        <w:t>-Las células troncales con microvesículas de PMBCs tratadas con genisteína resisten mejor el estrés oxidativo que las células troncales control (con microvesículas de PBMCs no tratadas).</w:t>
      </w:r>
    </w:p>
    <w:p w:rsidR="00C00DE1" w:rsidRDefault="00C00DE1">
      <w:pPr>
        <w:pStyle w:val="Standard"/>
      </w:pPr>
    </w:p>
    <w:p w:rsidR="00C00DE1" w:rsidRDefault="00C00DE1">
      <w:pPr>
        <w:pStyle w:val="Standard"/>
      </w:pPr>
    </w:p>
    <w:p w:rsidR="00C00DE1" w:rsidRDefault="00B66192">
      <w:pPr>
        <w:pStyle w:val="Standard"/>
      </w:pPr>
      <w:r>
        <w:t>Nota: Corrección de Bo</w:t>
      </w:r>
      <w:r>
        <w:t>nferroni es p-crítico = alfa/n =&gt; p-crítico = 0.05/n</w:t>
      </w:r>
    </w:p>
    <w:p w:rsidR="00C00DE1" w:rsidRDefault="00C00DE1">
      <w:pPr>
        <w:pStyle w:val="Standard"/>
      </w:pPr>
    </w:p>
    <w:p w:rsidR="00C00DE1" w:rsidRDefault="00B66192">
      <w:pPr>
        <w:pStyle w:val="Standard"/>
      </w:pPr>
      <w:r>
        <w:t>Corrección de Benjamini-HochBerg es:</w:t>
      </w:r>
    </w:p>
    <w:p w:rsidR="00C00DE1" w:rsidRDefault="00B66192">
      <w:pPr>
        <w:pStyle w:val="Standard"/>
        <w:numPr>
          <w:ilvl w:val="0"/>
          <w:numId w:val="3"/>
        </w:numPr>
      </w:pPr>
      <w:r>
        <w:t>Ordenar los p-valores en orden ascendente y asignarles correspondientemente un rango (de 1 a n)</w:t>
      </w:r>
    </w:p>
    <w:p w:rsidR="00C00DE1" w:rsidRDefault="00B66192">
      <w:pPr>
        <w:pStyle w:val="Standard"/>
        <w:numPr>
          <w:ilvl w:val="0"/>
          <w:numId w:val="3"/>
        </w:numPr>
      </w:pPr>
      <w:r>
        <w:t>Calcular el punto crítico de cada test con la fórmula (rango/n)*FDR(a</w:t>
      </w:r>
      <w:r>
        <w:t>lfa)</w:t>
      </w:r>
    </w:p>
    <w:p w:rsidR="00C00DE1" w:rsidRDefault="00B66192">
      <w:pPr>
        <w:pStyle w:val="Standard"/>
        <w:numPr>
          <w:ilvl w:val="0"/>
          <w:numId w:val="3"/>
        </w:numPr>
      </w:pPr>
      <w:r>
        <w:t>Busca el mayor p-valor que sea inferior al punto crítico correspondiente. Serán aceptados como estadísticamente significativos todos los tests con p-valores inferiores al susodicho p-valor máximo.</w:t>
      </w:r>
    </w:p>
    <w:sectPr w:rsidR="00C00DE1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66192">
      <w:r>
        <w:separator/>
      </w:r>
    </w:p>
  </w:endnote>
  <w:endnote w:type="continuationSeparator" w:id="0">
    <w:p w:rsidR="00000000" w:rsidRDefault="00B66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66192">
      <w:r>
        <w:rPr>
          <w:color w:val="000000"/>
        </w:rPr>
        <w:separator/>
      </w:r>
    </w:p>
  </w:footnote>
  <w:footnote w:type="continuationSeparator" w:id="0">
    <w:p w:rsidR="00000000" w:rsidRDefault="00B66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E7AAA"/>
    <w:multiLevelType w:val="multilevel"/>
    <w:tmpl w:val="23FE30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1D648D3"/>
    <w:multiLevelType w:val="multilevel"/>
    <w:tmpl w:val="30B039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9BA4A85"/>
    <w:multiLevelType w:val="multilevel"/>
    <w:tmpl w:val="2E26BB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00DE1"/>
    <w:rsid w:val="00B66192"/>
    <w:rsid w:val="00C0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AA93E23-1C61-43FA-B2D7-60468404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l.ac.uk/cardiovascular/research/pre-clinical-and-fundamental-science/functional-gene-annotation/microrna-annotation" TargetMode="External"/><Relationship Id="rId13" Type="http://schemas.openxmlformats.org/officeDocument/2006/relationships/hyperlink" Target="https://rnajournal.cshlp.org/content/24/8/1005" TargetMode="External"/><Relationship Id="rId18" Type="http://schemas.openxmlformats.org/officeDocument/2006/relationships/hyperlink" Target="http://wiki.geneontology.org/index.php/MicroRNA_GO_annotation_manu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lexdobin/STAR" TargetMode="External"/><Relationship Id="rId7" Type="http://schemas.openxmlformats.org/officeDocument/2006/relationships/hyperlink" Target="http://www.mirbase.org/blog/2018/06/microrna-gene-ontology-annotations/" TargetMode="External"/><Relationship Id="rId12" Type="http://schemas.openxmlformats.org/officeDocument/2006/relationships/hyperlink" Target="https://rnajournal.cshlp.org/content/24/8/1005" TargetMode="External"/><Relationship Id="rId17" Type="http://schemas.openxmlformats.org/officeDocument/2006/relationships/hyperlink" Target="https://www.abcam.com/kits/microrna-database-and-target-predictor-resource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irdb.org/" TargetMode="External"/><Relationship Id="rId20" Type="http://schemas.openxmlformats.org/officeDocument/2006/relationships/hyperlink" Target="https://github.com/infphilo/topha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najournal.cshlp.org/content/24/8/1005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nacentral.org/" TargetMode="External"/><Relationship Id="rId23" Type="http://schemas.openxmlformats.org/officeDocument/2006/relationships/hyperlink" Target="https://academic.oup.com/bioinformatics/article/29/1/15/272537" TargetMode="External"/><Relationship Id="rId10" Type="http://schemas.openxmlformats.org/officeDocument/2006/relationships/hyperlink" Target="http://www.mirbase.org/" TargetMode="External"/><Relationship Id="rId19" Type="http://schemas.openxmlformats.org/officeDocument/2006/relationships/hyperlink" Target="https://www.linkedin.com/in/osvaldas-vainauskas-42a13719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cam.com/kits/microrna-database-and-target-predictor-resources" TargetMode="External"/><Relationship Id="rId14" Type="http://schemas.openxmlformats.org/officeDocument/2006/relationships/hyperlink" Target="https://www.ebi.ac.uk/QuickGO/" TargetMode="External"/><Relationship Id="rId22" Type="http://schemas.openxmlformats.org/officeDocument/2006/relationships/hyperlink" Target="https://www.ncbi.nlm.nih.gov/pmc/articles/PMC49311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762</Words>
  <Characters>4346</Characters>
  <Application>Microsoft Office Word</Application>
  <DocSecurity>4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2021-05-20T09:17:00Z</dcterms:created>
  <dcterms:modified xsi:type="dcterms:W3CDTF">2021-05-20T09:17:00Z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