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Incident is when security even that compromises the integrity, confidentiality, or availability of an information asset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Breach is an incident that results in the confirmation disclosure - not just potential exposure - of data to an unauthorized party.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Outsiders were 69% and internal 34%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39%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  <w:t xml:space="preserve">71%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t xml:space="preserve">Denial of Service: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attack intended to compromise the availability of networks and systems. This includes both network and app attacks designed to overwhelm systems, resulting in performance degradation or interruption of service.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Control: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Set of organizational and technical attributes and process. Employs human, physical and information resources to solve problems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Malware type. Ignores normal authentications procedures that would normally be there to be able to access the systems.</w:t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Keylogger: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 computer program that records every keystroke made by a computer user, in order to be able to gain access fraudulently to passwords or other info.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