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776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U.S. Centers for Disease Control Study of Infant Birth Weight</w:t>
      </w:r>
    </w:p>
    <w:p w14:paraId="1EF3C3EA"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AF9B3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Description:</w:t>
      </w:r>
    </w:p>
    <w:p w14:paraId="53E1363C"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16E437" w14:textId="4EB5A0D5"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In a U.S. Centers for Disease Control study, conducted in the state of Georgia from 1980 to 1992, linked data on live births to the same mother were obtained (Adams et al., 1997). This dataset contains a subset of </w:t>
      </w:r>
      <w:proofErr w:type="gramStart"/>
      <w:r w:rsidRPr="003D53FE">
        <w:rPr>
          <w:rFonts w:ascii="Courier New" w:eastAsia="Times New Roman" w:hAnsi="Courier New" w:cs="Courier New"/>
          <w:color w:val="000000"/>
          <w:kern w:val="0"/>
          <w:sz w:val="20"/>
          <w:szCs w:val="20"/>
          <w14:ligatures w14:val="none"/>
        </w:rPr>
        <w:t>data</w:t>
      </w:r>
      <w:proofErr w:type="gramEnd"/>
      <w:r w:rsidRPr="003D53FE">
        <w:rPr>
          <w:rFonts w:ascii="Courier New" w:eastAsia="Times New Roman" w:hAnsi="Courier New" w:cs="Courier New"/>
          <w:color w:val="000000"/>
          <w:kern w:val="0"/>
          <w:sz w:val="20"/>
          <w:szCs w:val="20"/>
          <w14:ligatures w14:val="none"/>
        </w:rPr>
        <w:t xml:space="preserve"> </w:t>
      </w:r>
    </w:p>
    <w:p w14:paraId="123DC576"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restricted to 878 mothers for whom five births were identified.  </w:t>
      </w:r>
    </w:p>
    <w:p w14:paraId="66CD022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The main variables of interest are maternal age (the mother's age at each birth) and infant birth weight. </w:t>
      </w:r>
    </w:p>
    <w:p w14:paraId="5C05ACD8" w14:textId="60C4CDC8"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Note that because each mother had five infant births, but at different maternal ages, maternal age is a within-subject covariate.</w:t>
      </w:r>
    </w:p>
    <w:p w14:paraId="34D8C47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F5F4C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Variable List: </w:t>
      </w:r>
    </w:p>
    <w:p w14:paraId="375E65B3"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Pr>
          <w:rFonts w:ascii="Courier New" w:eastAsia="Times New Roman" w:hAnsi="Courier New" w:cs="Courier New"/>
          <w:color w:val="000000"/>
          <w:kern w:val="0"/>
          <w:sz w:val="20"/>
          <w:szCs w:val="20"/>
          <w14:ligatures w14:val="none"/>
        </w:rPr>
        <w:t>mid:</w:t>
      </w:r>
      <w:r w:rsidRPr="003D53FE">
        <w:rPr>
          <w:rFonts w:ascii="Courier New" w:eastAsia="Times New Roman" w:hAnsi="Courier New" w:cs="Courier New"/>
          <w:color w:val="000000"/>
          <w:kern w:val="0"/>
          <w:sz w:val="20"/>
          <w:szCs w:val="20"/>
          <w14:ligatures w14:val="none"/>
        </w:rPr>
        <w:t>Mother</w:t>
      </w:r>
      <w:proofErr w:type="gramEnd"/>
      <w:r w:rsidRPr="003D53FE">
        <w:rPr>
          <w:rFonts w:ascii="Courier New" w:eastAsia="Times New Roman" w:hAnsi="Courier New" w:cs="Courier New"/>
          <w:color w:val="000000"/>
          <w:kern w:val="0"/>
          <w:sz w:val="20"/>
          <w:szCs w:val="20"/>
          <w14:ligatures w14:val="none"/>
        </w:rPr>
        <w:t xml:space="preserve"> ID</w:t>
      </w:r>
    </w:p>
    <w:p w14:paraId="7D1ECBA3" w14:textId="0828F256"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border: </w:t>
      </w:r>
      <w:r w:rsidRPr="003D53FE">
        <w:rPr>
          <w:rFonts w:ascii="Courier New" w:eastAsia="Times New Roman" w:hAnsi="Courier New" w:cs="Courier New"/>
          <w:color w:val="000000"/>
          <w:kern w:val="0"/>
          <w:sz w:val="20"/>
          <w:szCs w:val="20"/>
          <w14:ligatures w14:val="none"/>
        </w:rPr>
        <w:t>Birth Order</w:t>
      </w:r>
    </w:p>
    <w:p w14:paraId="5CF7DACA"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Pr>
          <w:rFonts w:ascii="Courier New" w:eastAsia="Times New Roman" w:hAnsi="Courier New" w:cs="Courier New"/>
          <w:color w:val="000000"/>
          <w:kern w:val="0"/>
          <w:sz w:val="20"/>
          <w:szCs w:val="20"/>
          <w14:ligatures w14:val="none"/>
        </w:rPr>
        <w:t>bweight</w:t>
      </w:r>
      <w:proofErr w:type="spellEnd"/>
      <w:r>
        <w:rPr>
          <w:rFonts w:ascii="Courier New" w:eastAsia="Times New Roman" w:hAnsi="Courier New" w:cs="Courier New"/>
          <w:color w:val="000000"/>
          <w:kern w:val="0"/>
          <w:sz w:val="20"/>
          <w:szCs w:val="20"/>
          <w14:ligatures w14:val="none"/>
        </w:rPr>
        <w:t xml:space="preserve">: </w:t>
      </w:r>
      <w:r w:rsidRPr="003D53FE">
        <w:rPr>
          <w:rFonts w:ascii="Courier New" w:eastAsia="Times New Roman" w:hAnsi="Courier New" w:cs="Courier New"/>
          <w:color w:val="000000"/>
          <w:kern w:val="0"/>
          <w:sz w:val="20"/>
          <w:szCs w:val="20"/>
          <w14:ligatures w14:val="none"/>
        </w:rPr>
        <w:t>Birth Weight (in grams)</w:t>
      </w:r>
    </w:p>
    <w:p w14:paraId="35B0AE80" w14:textId="77777777" w:rsid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mage: </w:t>
      </w:r>
      <w:r w:rsidRPr="003D53FE">
        <w:rPr>
          <w:rFonts w:ascii="Courier New" w:eastAsia="Times New Roman" w:hAnsi="Courier New" w:cs="Courier New"/>
          <w:color w:val="000000"/>
          <w:kern w:val="0"/>
          <w:sz w:val="20"/>
          <w:szCs w:val="20"/>
          <w14:ligatures w14:val="none"/>
        </w:rPr>
        <w:t>Maternal Age (years)</w:t>
      </w:r>
    </w:p>
    <w:p w14:paraId="48BB5CB1" w14:textId="109F4A2C"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cid: </w:t>
      </w:r>
      <w:r w:rsidRPr="003D53FE">
        <w:rPr>
          <w:rFonts w:ascii="Courier New" w:eastAsia="Times New Roman" w:hAnsi="Courier New" w:cs="Courier New"/>
          <w:color w:val="000000"/>
          <w:kern w:val="0"/>
          <w:sz w:val="20"/>
          <w:szCs w:val="20"/>
          <w14:ligatures w14:val="none"/>
        </w:rPr>
        <w:t>Child ID</w:t>
      </w:r>
    </w:p>
    <w:p w14:paraId="0B9C6401" w14:textId="77777777" w:rsidR="00EB5B4C" w:rsidRDefault="00EB5B4C"/>
    <w:p w14:paraId="3AF32E5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466A59"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References:</w:t>
      </w:r>
    </w:p>
    <w:p w14:paraId="0E6A938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9AA688D"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Adams, M.M., Wilson, H.G., Casto, D.L., Berg, C.J., McDermott, J.M., Gaudino, J.A.,</w:t>
      </w:r>
    </w:p>
    <w:p w14:paraId="0979C025"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and McCarthy, B.J. (1997). Constructing reproductive histories by linking vital records.</w:t>
      </w:r>
    </w:p>
    <w:p w14:paraId="1ECCF38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American Journal of Epidemiology, 145, 339--348.</w:t>
      </w:r>
    </w:p>
    <w:p w14:paraId="37A762B4"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825302"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Neuhaus, J.M. and Kalbfleisch, J.D. (1998). Between- and within-cluster covariate effects in</w:t>
      </w:r>
    </w:p>
    <w:p w14:paraId="41B72F5F"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the analysis of clustered data. Biometrics, 54, 638-645.</w:t>
      </w:r>
    </w:p>
    <w:p w14:paraId="2BA1197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5ACEC8"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Pan, W. (2002). A note on the use of marginal likelihood and conditional likelihood in </w:t>
      </w:r>
      <w:proofErr w:type="gramStart"/>
      <w:r w:rsidRPr="003D53FE">
        <w:rPr>
          <w:rFonts w:ascii="Courier New" w:eastAsia="Times New Roman" w:hAnsi="Courier New" w:cs="Courier New"/>
          <w:color w:val="000000"/>
          <w:kern w:val="0"/>
          <w:sz w:val="20"/>
          <w:szCs w:val="20"/>
          <w14:ligatures w14:val="none"/>
        </w:rPr>
        <w:t>analyzing</w:t>
      </w:r>
      <w:proofErr w:type="gramEnd"/>
    </w:p>
    <w:p w14:paraId="5CBBC5B7"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clustered data. American Statistician, 56, 171-174.</w:t>
      </w:r>
    </w:p>
    <w:p w14:paraId="2A9CEF60"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97ECF2"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 xml:space="preserve">Rabe-Hesketh, S. and </w:t>
      </w:r>
      <w:proofErr w:type="spellStart"/>
      <w:r w:rsidRPr="003D53FE">
        <w:rPr>
          <w:rFonts w:ascii="Courier New" w:eastAsia="Times New Roman" w:hAnsi="Courier New" w:cs="Courier New"/>
          <w:color w:val="000000"/>
          <w:kern w:val="0"/>
          <w:sz w:val="20"/>
          <w:szCs w:val="20"/>
          <w14:ligatures w14:val="none"/>
        </w:rPr>
        <w:t>Skrondal</w:t>
      </w:r>
      <w:proofErr w:type="spellEnd"/>
      <w:r w:rsidRPr="003D53FE">
        <w:rPr>
          <w:rFonts w:ascii="Courier New" w:eastAsia="Times New Roman" w:hAnsi="Courier New" w:cs="Courier New"/>
          <w:color w:val="000000"/>
          <w:kern w:val="0"/>
          <w:sz w:val="20"/>
          <w:szCs w:val="20"/>
          <w14:ligatures w14:val="none"/>
        </w:rPr>
        <w:t>, A. (2008). Multilevel and Longitudinal Modeling Using Stata, 2nd ed.</w:t>
      </w:r>
    </w:p>
    <w:p w14:paraId="1C69ED29"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D53FE">
        <w:rPr>
          <w:rFonts w:ascii="Courier New" w:eastAsia="Times New Roman" w:hAnsi="Courier New" w:cs="Courier New"/>
          <w:color w:val="000000"/>
          <w:kern w:val="0"/>
          <w:sz w:val="20"/>
          <w:szCs w:val="20"/>
          <w14:ligatures w14:val="none"/>
        </w:rPr>
        <w:t>College Station, TX: Stata Press.</w:t>
      </w:r>
    </w:p>
    <w:p w14:paraId="26BC114B" w14:textId="77777777" w:rsidR="003D53FE" w:rsidRPr="003D53FE" w:rsidRDefault="003D53FE" w:rsidP="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56EDF1" w14:textId="77777777" w:rsidR="003D53FE" w:rsidRDefault="003D53FE"/>
    <w:sectPr w:rsidR="003D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FE"/>
    <w:rsid w:val="003D53FE"/>
    <w:rsid w:val="0044701E"/>
    <w:rsid w:val="00625EDA"/>
    <w:rsid w:val="00891012"/>
    <w:rsid w:val="00C16F1B"/>
    <w:rsid w:val="00EB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755D"/>
  <w15:chartTrackingRefBased/>
  <w15:docId w15:val="{F142FB9A-66BF-454B-A675-1A0D2BF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3FE"/>
    <w:rPr>
      <w:rFonts w:eastAsiaTheme="majorEastAsia" w:cstheme="majorBidi"/>
      <w:color w:val="272727" w:themeColor="text1" w:themeTint="D8"/>
    </w:rPr>
  </w:style>
  <w:style w:type="paragraph" w:styleId="Title">
    <w:name w:val="Title"/>
    <w:basedOn w:val="Normal"/>
    <w:next w:val="Normal"/>
    <w:link w:val="TitleChar"/>
    <w:uiPriority w:val="10"/>
    <w:qFormat/>
    <w:rsid w:val="003D5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3FE"/>
    <w:pPr>
      <w:spacing w:before="160"/>
      <w:jc w:val="center"/>
    </w:pPr>
    <w:rPr>
      <w:i/>
      <w:iCs/>
      <w:color w:val="404040" w:themeColor="text1" w:themeTint="BF"/>
    </w:rPr>
  </w:style>
  <w:style w:type="character" w:customStyle="1" w:styleId="QuoteChar">
    <w:name w:val="Quote Char"/>
    <w:basedOn w:val="DefaultParagraphFont"/>
    <w:link w:val="Quote"/>
    <w:uiPriority w:val="29"/>
    <w:rsid w:val="003D53FE"/>
    <w:rPr>
      <w:i/>
      <w:iCs/>
      <w:color w:val="404040" w:themeColor="text1" w:themeTint="BF"/>
    </w:rPr>
  </w:style>
  <w:style w:type="paragraph" w:styleId="ListParagraph">
    <w:name w:val="List Paragraph"/>
    <w:basedOn w:val="Normal"/>
    <w:uiPriority w:val="34"/>
    <w:qFormat/>
    <w:rsid w:val="003D53FE"/>
    <w:pPr>
      <w:ind w:left="720"/>
      <w:contextualSpacing/>
    </w:pPr>
  </w:style>
  <w:style w:type="character" w:styleId="IntenseEmphasis">
    <w:name w:val="Intense Emphasis"/>
    <w:basedOn w:val="DefaultParagraphFont"/>
    <w:uiPriority w:val="21"/>
    <w:qFormat/>
    <w:rsid w:val="003D53FE"/>
    <w:rPr>
      <w:i/>
      <w:iCs/>
      <w:color w:val="0F4761" w:themeColor="accent1" w:themeShade="BF"/>
    </w:rPr>
  </w:style>
  <w:style w:type="paragraph" w:styleId="IntenseQuote">
    <w:name w:val="Intense Quote"/>
    <w:basedOn w:val="Normal"/>
    <w:next w:val="Normal"/>
    <w:link w:val="IntenseQuoteChar"/>
    <w:uiPriority w:val="30"/>
    <w:qFormat/>
    <w:rsid w:val="003D5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3FE"/>
    <w:rPr>
      <w:i/>
      <w:iCs/>
      <w:color w:val="0F4761" w:themeColor="accent1" w:themeShade="BF"/>
    </w:rPr>
  </w:style>
  <w:style w:type="character" w:styleId="IntenseReference">
    <w:name w:val="Intense Reference"/>
    <w:basedOn w:val="DefaultParagraphFont"/>
    <w:uiPriority w:val="32"/>
    <w:qFormat/>
    <w:rsid w:val="003D53F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D5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53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Kwun C. Chan</dc:creator>
  <cp:keywords/>
  <dc:description/>
  <cp:lastModifiedBy>Gabby Lopez</cp:lastModifiedBy>
  <cp:revision>2</cp:revision>
  <dcterms:created xsi:type="dcterms:W3CDTF">2024-04-25T01:03:00Z</dcterms:created>
  <dcterms:modified xsi:type="dcterms:W3CDTF">2024-04-25T01:03:00Z</dcterms:modified>
</cp:coreProperties>
</file>