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D2" w:rsidRDefault="00DE35D2" w:rsidP="00DE35D2">
      <w:r>
        <w:t xml:space="preserve">CONTINUATION OF ADDENDUM                                                                                </w:t>
      </w:r>
    </w:p>
    <w:p w:rsidR="00DE35D2" w:rsidRDefault="00DE35D2" w:rsidP="00DE35D2">
      <w:r>
        <w:t xml:space="preserve">                                                                                                         </w:t>
      </w:r>
    </w:p>
    <w:p w:rsidR="00DE35D2" w:rsidRDefault="00DE35D2" w:rsidP="00DE35D2">
      <w:r>
        <w:t xml:space="preserve">                                          FINANCIAL COVENANTS                                            </w:t>
      </w:r>
    </w:p>
    <w:p w:rsidR="00DE35D2" w:rsidRDefault="00DE35D2" w:rsidP="00DE35D2">
      <w:r>
        <w:t xml:space="preserve">(1) The Borrower will maintain at all times a </w:t>
      </w:r>
      <w:r w:rsidRPr="00DE35D2">
        <w:rPr>
          <w:color w:val="FF0000"/>
        </w:rPr>
        <w:t xml:space="preserve">Tangible Net Worth </w:t>
      </w:r>
      <w:r>
        <w:t xml:space="preserve">of at </w:t>
      </w:r>
      <w:r w:rsidR="00F07036">
        <w:t>least</w:t>
      </w:r>
      <w:r>
        <w:t xml:space="preserve"> $4,050,000.00. to be        </w:t>
      </w:r>
    </w:p>
    <w:p w:rsidR="00DE35D2" w:rsidRDefault="00DE35D2" w:rsidP="00DE35D2">
      <w:r>
        <w:t xml:space="preserve">increased on the last day of each fiscal year commencing on December 31, 2012 by an amount equal to      </w:t>
      </w:r>
    </w:p>
    <w:p w:rsidR="00DE35D2" w:rsidRDefault="00DE35D2" w:rsidP="00DE35D2">
      <w:r>
        <w:t xml:space="preserve">50% of the Borrower’s net income (if a positive number) for the fiscal year then ending.                 </w:t>
      </w:r>
    </w:p>
    <w:p w:rsidR="00DE35D2" w:rsidRPr="00DE35D2" w:rsidRDefault="00DE35D2" w:rsidP="00DE35D2">
      <w:pPr>
        <w:rPr>
          <w:color w:val="FFC000"/>
        </w:rPr>
      </w:pPr>
      <w:r>
        <w:t xml:space="preserve">(2) The Borrower will maintain as of the end of each fiscal year, a </w:t>
      </w:r>
      <w:r w:rsidRPr="00DE35D2">
        <w:rPr>
          <w:color w:val="FFC000"/>
        </w:rPr>
        <w:t xml:space="preserve">Consolidated Debt Service            </w:t>
      </w:r>
    </w:p>
    <w:p w:rsidR="00DE35D2" w:rsidRDefault="00DE35D2" w:rsidP="00DE35D2">
      <w:r w:rsidRPr="00DE35D2">
        <w:rPr>
          <w:color w:val="FFC000"/>
        </w:rPr>
        <w:t xml:space="preserve">Coverage Ratio </w:t>
      </w:r>
      <w:r>
        <w:t xml:space="preserve">of at least 1.25 to 1.00.                                                                 </w:t>
      </w:r>
    </w:p>
    <w:p w:rsidR="00DE35D2" w:rsidRDefault="00DE35D2" w:rsidP="00DE35D2">
      <w:r>
        <w:t xml:space="preserve">As used herein:                                                                                          </w:t>
      </w:r>
    </w:p>
    <w:p w:rsidR="00DE35D2" w:rsidRDefault="00DE35D2" w:rsidP="00DE35D2">
      <w:r>
        <w:t>“</w:t>
      </w:r>
      <w:r w:rsidRPr="00DE35D2">
        <w:rPr>
          <w:color w:val="FF0000"/>
        </w:rPr>
        <w:t>Tangible Net Worth</w:t>
      </w:r>
      <w:r>
        <w:t xml:space="preserve">” means </w:t>
      </w:r>
      <w:r w:rsidRPr="00DE35D2">
        <w:rPr>
          <w:b/>
        </w:rPr>
        <w:t>stockholders’ equity</w:t>
      </w:r>
      <w:r>
        <w:t xml:space="preserve"> in the Borrower less any advances to affiliated          </w:t>
      </w:r>
    </w:p>
    <w:p w:rsidR="00DE35D2" w:rsidRDefault="00DE35D2" w:rsidP="00DE35D2">
      <w:r>
        <w:t xml:space="preserve">parties less all items properly classified as intangibles, plus </w:t>
      </w:r>
      <w:r w:rsidRPr="00DE35D2">
        <w:rPr>
          <w:color w:val="92D050"/>
        </w:rPr>
        <w:t>Subordinated Debt</w:t>
      </w:r>
      <w:r>
        <w:t xml:space="preserve">.                       </w:t>
      </w:r>
    </w:p>
    <w:p w:rsidR="00DE35D2" w:rsidRDefault="00DE35D2" w:rsidP="00DE35D2">
      <w:r>
        <w:t>“</w:t>
      </w:r>
      <w:r w:rsidRPr="00DE35D2">
        <w:rPr>
          <w:color w:val="FFC000"/>
        </w:rPr>
        <w:t>Consolidated Debt Service Coverage Ratio</w:t>
      </w:r>
      <w:r>
        <w:t>” means (</w:t>
      </w:r>
      <w:proofErr w:type="spellStart"/>
      <w:r>
        <w:t>i</w:t>
      </w:r>
      <w:proofErr w:type="spellEnd"/>
      <w:r>
        <w:t xml:space="preserve">) consolidated net income of Borrower plus            </w:t>
      </w:r>
    </w:p>
    <w:p w:rsidR="00DE35D2" w:rsidRDefault="00DE35D2" w:rsidP="00DE35D2">
      <w:r w:rsidRPr="00DE35D2">
        <w:t>consolidated</w:t>
      </w:r>
      <w:r w:rsidRPr="00DE35D2">
        <w:rPr>
          <w:b/>
        </w:rPr>
        <w:t xml:space="preserve"> interest expense</w:t>
      </w:r>
      <w:r>
        <w:t xml:space="preserve">, plus </w:t>
      </w:r>
      <w:r w:rsidRPr="00DE35D2">
        <w:t>consolidated</w:t>
      </w:r>
      <w:r w:rsidRPr="00DE35D2">
        <w:rPr>
          <w:b/>
        </w:rPr>
        <w:t xml:space="preserve"> depreciation</w:t>
      </w:r>
      <w:r>
        <w:t xml:space="preserve">, plus </w:t>
      </w:r>
      <w:r w:rsidRPr="00DE35D2">
        <w:t>consolidated</w:t>
      </w:r>
      <w:r w:rsidRPr="00DE35D2">
        <w:rPr>
          <w:b/>
        </w:rPr>
        <w:t xml:space="preserve"> amortization</w:t>
      </w:r>
      <w:r>
        <w:t xml:space="preserve">, less          </w:t>
      </w:r>
    </w:p>
    <w:p w:rsidR="00DE35D2" w:rsidRPr="00DE35D2" w:rsidRDefault="00DE35D2" w:rsidP="00DE35D2">
      <w:pPr>
        <w:rPr>
          <w:b/>
        </w:rPr>
      </w:pPr>
      <w:r w:rsidRPr="00DE35D2">
        <w:t>consolidated</w:t>
      </w:r>
      <w:r w:rsidRPr="00DE35D2">
        <w:rPr>
          <w:b/>
        </w:rPr>
        <w:t xml:space="preserve"> income tax expense</w:t>
      </w:r>
      <w:r>
        <w:t xml:space="preserve">, less consolidated </w:t>
      </w:r>
      <w:r w:rsidRPr="00DE35D2">
        <w:rPr>
          <w:color w:val="00B0F0"/>
        </w:rPr>
        <w:t>Unfunded Capital Expenditures</w:t>
      </w:r>
      <w:r>
        <w:t xml:space="preserve">, </w:t>
      </w:r>
      <w:r w:rsidRPr="00DE35D2">
        <w:t>less</w:t>
      </w:r>
      <w:r w:rsidRPr="00DE35D2">
        <w:rPr>
          <w:b/>
        </w:rPr>
        <w:t xml:space="preserve"> </w:t>
      </w:r>
      <w:r w:rsidRPr="00DE35D2">
        <w:t>consolidated</w:t>
      </w:r>
      <w:r w:rsidRPr="00DE35D2">
        <w:rPr>
          <w:b/>
        </w:rPr>
        <w:t xml:space="preserve">      </w:t>
      </w:r>
    </w:p>
    <w:p w:rsidR="00DE35D2" w:rsidRPr="00DE35D2" w:rsidRDefault="00DE35D2" w:rsidP="00DE35D2">
      <w:pPr>
        <w:rPr>
          <w:color w:val="7030A0"/>
        </w:rPr>
      </w:pPr>
      <w:r w:rsidRPr="00DE35D2">
        <w:rPr>
          <w:b/>
        </w:rPr>
        <w:t>dividends</w:t>
      </w:r>
      <w:r>
        <w:t xml:space="preserve">, less consolidated </w:t>
      </w:r>
      <w:r w:rsidRPr="00DE35D2">
        <w:rPr>
          <w:b/>
        </w:rPr>
        <w:t>treasury stock</w:t>
      </w:r>
      <w:r>
        <w:t xml:space="preserve"> purchases divided by (ii) the </w:t>
      </w:r>
      <w:r w:rsidRPr="00DE35D2">
        <w:t xml:space="preserve">sum of consolidated </w:t>
      </w:r>
      <w:r w:rsidRPr="00DE35D2">
        <w:rPr>
          <w:color w:val="7030A0"/>
        </w:rPr>
        <w:t xml:space="preserve">Current    </w:t>
      </w:r>
    </w:p>
    <w:p w:rsidR="00DE35D2" w:rsidRDefault="00DE35D2" w:rsidP="00DE35D2">
      <w:r w:rsidRPr="00DE35D2">
        <w:rPr>
          <w:color w:val="7030A0"/>
        </w:rPr>
        <w:t>Maturities</w:t>
      </w:r>
      <w:r w:rsidRPr="00DE35D2">
        <w:t xml:space="preserve"> </w:t>
      </w:r>
      <w:r>
        <w:t xml:space="preserve">plus </w:t>
      </w:r>
      <w:r w:rsidRPr="00DE35D2">
        <w:rPr>
          <w:b/>
        </w:rPr>
        <w:t>consolidated interest expense</w:t>
      </w:r>
      <w:r>
        <w:t xml:space="preserve">.                            </w:t>
      </w:r>
      <w:r>
        <w:t xml:space="preserve">                               </w:t>
      </w:r>
    </w:p>
    <w:p w:rsidR="00DE35D2" w:rsidRDefault="00DE35D2" w:rsidP="00DE35D2">
      <w:r>
        <w:t xml:space="preserve"> </w:t>
      </w:r>
      <w:r>
        <w:t>“</w:t>
      </w:r>
      <w:r w:rsidRPr="00DE35D2">
        <w:rPr>
          <w:color w:val="7030A0"/>
        </w:rPr>
        <w:t>Current Maturities</w:t>
      </w:r>
      <w:r>
        <w:t xml:space="preserve">” means the scheduled payments of principal on all indebtedness for borrowed          </w:t>
      </w:r>
    </w:p>
    <w:p w:rsidR="00DE35D2" w:rsidRDefault="00DE35D2" w:rsidP="00DE35D2">
      <w:r>
        <w:t xml:space="preserve">money having an original term of more than one year (including but not limited to amortization of        </w:t>
      </w:r>
    </w:p>
    <w:p w:rsidR="00DE35D2" w:rsidRDefault="00DE35D2" w:rsidP="00DE35D2">
      <w:r>
        <w:t>capitalized lease obligations), as shown on the Borrower’s Financi</w:t>
      </w:r>
      <w:bookmarkStart w:id="0" w:name="_GoBack"/>
      <w:bookmarkEnd w:id="0"/>
      <w:r>
        <w:t xml:space="preserve">al Statements as of one year prior to  </w:t>
      </w:r>
    </w:p>
    <w:p w:rsidR="00DE35D2" w:rsidRDefault="00DE35D2" w:rsidP="00DE35D2">
      <w:r>
        <w:t xml:space="preserve">the date of determination.                                                                               </w:t>
      </w:r>
    </w:p>
    <w:p w:rsidR="00DE35D2" w:rsidRDefault="00DE35D2" w:rsidP="00DE35D2">
      <w:r>
        <w:t>“</w:t>
      </w:r>
      <w:r w:rsidRPr="00DE35D2">
        <w:rPr>
          <w:color w:val="92D050"/>
        </w:rPr>
        <w:t>Subordinated Debt</w:t>
      </w:r>
      <w:r>
        <w:t xml:space="preserve">” means indebtedness that has been subordinated to the </w:t>
      </w:r>
      <w:r w:rsidRPr="00DE35D2">
        <w:rPr>
          <w:b/>
        </w:rPr>
        <w:t>Borrower's indebtedness</w:t>
      </w:r>
      <w:r>
        <w:t xml:space="preserve"> to      </w:t>
      </w:r>
    </w:p>
    <w:p w:rsidR="00DE35D2" w:rsidRDefault="00DE35D2" w:rsidP="00DE35D2">
      <w:r>
        <w:t xml:space="preserve">the Bank pursuant to a subordination agreement in form and content satisfactory to the Bank.             </w:t>
      </w:r>
    </w:p>
    <w:p w:rsidR="00DE35D2" w:rsidRDefault="00DE35D2" w:rsidP="00DE35D2">
      <w:r>
        <w:t xml:space="preserve"> </w:t>
      </w:r>
      <w:r>
        <w:t>“</w:t>
      </w:r>
      <w:r w:rsidRPr="00DE35D2">
        <w:rPr>
          <w:color w:val="00B0F0"/>
        </w:rPr>
        <w:t>Unfunded Capital Expenditures</w:t>
      </w:r>
      <w:r>
        <w:t xml:space="preserve">” means </w:t>
      </w:r>
      <w:r w:rsidRPr="00DE35D2">
        <w:rPr>
          <w:b/>
        </w:rPr>
        <w:t>capital expenditures</w:t>
      </w:r>
      <w:r>
        <w:t xml:space="preserve"> made from the Borrowers funds other           </w:t>
      </w:r>
    </w:p>
    <w:p w:rsidR="00DE35D2" w:rsidRDefault="00DE35D2" w:rsidP="00DE35D2">
      <w:r>
        <w:t xml:space="preserve">than funds borrowed as term debt to finance such capital expenditures.                                   </w:t>
      </w:r>
    </w:p>
    <w:p w:rsidR="00DE35D2" w:rsidRDefault="00DE35D2" w:rsidP="00DE35D2">
      <w:r>
        <w:t xml:space="preserve">All of the above financial covenants shall be computed and determined in accordance with GAAP            </w:t>
      </w:r>
    </w:p>
    <w:p w:rsidR="003E59D4" w:rsidRDefault="00DE35D2" w:rsidP="00DE35D2">
      <w:r>
        <w:t xml:space="preserve">applied on a consistent basis (subject to normal year-end adjustments).                                  </w:t>
      </w:r>
    </w:p>
    <w:sectPr w:rsidR="003E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D2"/>
    <w:rsid w:val="003E59D4"/>
    <w:rsid w:val="00DE35D2"/>
    <w:rsid w:val="00F0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D6619-0A8C-4D40-B598-255196FA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Smith</dc:creator>
  <cp:keywords/>
  <dc:description/>
  <cp:lastModifiedBy>Smith, Luke</cp:lastModifiedBy>
  <cp:revision>1</cp:revision>
  <dcterms:created xsi:type="dcterms:W3CDTF">2017-09-07T14:38:00Z</dcterms:created>
  <dcterms:modified xsi:type="dcterms:W3CDTF">2017-09-07T14:52:00Z</dcterms:modified>
</cp:coreProperties>
</file>