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280" w:type="dxa"/>
        <w:jc w:val="left"/>
        <w:tblInd w:w="430" w:type="dxa"/>
        <w:tblCellMar>
          <w:top w:w="0" w:type="dxa"/>
          <w:left w:w="70" w:type="dxa"/>
          <w:bottom w:w="0" w:type="dxa"/>
          <w:right w:w="70" w:type="dxa"/>
        </w:tblCellMar>
        <w:tblLook w:val="0000" w:noHBand="0" w:noVBand="0" w:firstColumn="0" w:lastRow="0" w:lastColumn="0" w:firstRow="0"/>
      </w:tblPr>
      <w:tblGrid>
        <w:gridCol w:w="1730"/>
        <w:gridCol w:w="2161"/>
        <w:gridCol w:w="2162"/>
        <w:gridCol w:w="1113"/>
        <w:gridCol w:w="1114"/>
      </w:tblGrid>
      <w:tr>
        <w:trPr>
          <w:trHeight w:val="765" w:hRule="atLeast"/>
        </w:trPr>
        <w:tc>
          <w:tcPr>
            <w:tcW w:w="8280" w:type="dxa"/>
            <w:gridSpan w:val="5"/>
            <w:tcBorders>
              <w:top w:val="single" w:sz="4" w:space="0" w:color="000000"/>
              <w:left w:val="single" w:sz="4" w:space="0" w:color="000000"/>
              <w:right w:val="single" w:sz="4" w:space="0" w:color="000000"/>
            </w:tcBorders>
            <w:shd w:color="auto" w:fill="B3B3B3" w:val="clear"/>
          </w:tcPr>
          <w:p>
            <w:pPr>
              <w:pStyle w:val="Titulopractica"/>
              <w:spacing w:before="240" w:after="120"/>
              <w:ind w:left="284" w:hanging="0"/>
              <w:rPr/>
            </w:pPr>
            <w:r>
              <w:rPr/>
              <w:t>Práctica 2 – La Transformada de Fourier en Tiempo Discreto (DTFT): Modulación y Enventanado.</w:t>
            </w:r>
          </w:p>
        </w:tc>
      </w:tr>
      <w:tr>
        <w:trPr>
          <w:cantSplit w:val="true"/>
        </w:trPr>
        <w:tc>
          <w:tcPr>
            <w:tcW w:w="1730" w:type="dxa"/>
            <w:tcBorders>
              <w:left w:val="single" w:sz="4" w:space="0" w:color="000000"/>
            </w:tcBorders>
            <w:shd w:color="auto" w:fill="CCCCCC" w:val="clear"/>
          </w:tcPr>
          <w:p>
            <w:pPr>
              <w:pStyle w:val="Tablanombres"/>
              <w:spacing w:before="120" w:after="120"/>
              <w:ind w:left="284" w:hanging="0"/>
              <w:rPr/>
            </w:pPr>
            <w:r>
              <w:rPr/>
              <w:t>Primer Apellido</w:t>
            </w:r>
          </w:p>
        </w:tc>
        <w:tc>
          <w:tcPr>
            <w:tcW w:w="2161" w:type="dxa"/>
            <w:tcBorders/>
            <w:shd w:color="auto" w:fill="CCCCCC" w:val="clear"/>
          </w:tcPr>
          <w:p>
            <w:pPr>
              <w:pStyle w:val="Tablanombres"/>
              <w:spacing w:before="120" w:after="120"/>
              <w:ind w:left="284" w:hanging="0"/>
              <w:rPr/>
            </w:pPr>
            <w:r>
              <w:rPr/>
              <w:t>Segundo Apellido</w:t>
            </w:r>
          </w:p>
        </w:tc>
        <w:tc>
          <w:tcPr>
            <w:tcW w:w="2162" w:type="dxa"/>
            <w:tcBorders/>
            <w:shd w:color="auto" w:fill="CCCCCC" w:val="clear"/>
          </w:tcPr>
          <w:p>
            <w:pPr>
              <w:pStyle w:val="Tablanombres"/>
              <w:spacing w:before="120" w:after="120"/>
              <w:ind w:left="284" w:hanging="0"/>
              <w:rPr/>
            </w:pPr>
            <w:r>
              <w:rPr/>
              <w:t>Nombre</w:t>
            </w:r>
          </w:p>
        </w:tc>
        <w:tc>
          <w:tcPr>
            <w:tcW w:w="1113" w:type="dxa"/>
            <w:tcBorders/>
            <w:shd w:color="auto" w:fill="CCCCCC" w:val="clear"/>
          </w:tcPr>
          <w:p>
            <w:pPr>
              <w:pStyle w:val="Tablanombres"/>
              <w:spacing w:before="120" w:after="120"/>
              <w:ind w:left="284" w:hanging="0"/>
              <w:rPr/>
            </w:pPr>
            <w:r>
              <w:rPr/>
              <w:t>Grupo</w:t>
            </w:r>
          </w:p>
        </w:tc>
        <w:tc>
          <w:tcPr>
            <w:tcW w:w="1114" w:type="dxa"/>
            <w:tcBorders/>
          </w:tcPr>
          <w:p>
            <w:pPr>
              <w:pStyle w:val="Cuerpodetextoconsangra"/>
              <w:spacing w:before="120" w:after="120"/>
              <w:ind w:left="340" w:hanging="0"/>
              <w:rPr/>
            </w:pPr>
            <w:r>
              <w:rPr/>
            </w:r>
          </w:p>
        </w:tc>
      </w:tr>
      <w:tr>
        <w:trPr>
          <w:trHeight w:val="429" w:hRule="atLeast"/>
          <w:cantSplit w:val="true"/>
        </w:trPr>
        <w:tc>
          <w:tcPr>
            <w:tcW w:w="1730" w:type="dxa"/>
            <w:tcBorders>
              <w:left w:val="single" w:sz="4" w:space="0" w:color="000000"/>
            </w:tcBorders>
          </w:tcPr>
          <w:p>
            <w:pPr>
              <w:pStyle w:val="Cuerpodetextoconsangra"/>
              <w:spacing w:before="120" w:after="120"/>
              <w:ind w:left="340" w:hanging="0"/>
              <w:rPr/>
            </w:pPr>
            <w:r>
              <w:rPr/>
            </w:r>
          </w:p>
        </w:tc>
        <w:tc>
          <w:tcPr>
            <w:tcW w:w="2161" w:type="dxa"/>
            <w:tcBorders/>
          </w:tcPr>
          <w:p>
            <w:pPr>
              <w:pStyle w:val="Cuerpodetextoconsangra"/>
              <w:spacing w:before="120" w:after="120"/>
              <w:rPr>
                <w:sz w:val="20"/>
              </w:rPr>
            </w:pPr>
            <w:r>
              <w:rPr>
                <w:sz w:val="20"/>
              </w:rPr>
            </w:r>
          </w:p>
        </w:tc>
        <w:tc>
          <w:tcPr>
            <w:tcW w:w="2162" w:type="dxa"/>
            <w:tcBorders/>
          </w:tcPr>
          <w:p>
            <w:pPr>
              <w:pStyle w:val="Cuerpodetextoconsangra"/>
              <w:spacing w:before="120" w:after="120"/>
              <w:rPr>
                <w:sz w:val="20"/>
              </w:rPr>
            </w:pPr>
            <w:r>
              <w:rPr>
                <w:sz w:val="20"/>
              </w:rPr>
            </w:r>
          </w:p>
        </w:tc>
        <w:tc>
          <w:tcPr>
            <w:tcW w:w="1113" w:type="dxa"/>
            <w:tcBorders/>
            <w:shd w:color="auto" w:fill="CCCCCC" w:val="clear"/>
          </w:tcPr>
          <w:p>
            <w:pPr>
              <w:pStyle w:val="Tablanombres"/>
              <w:spacing w:before="120" w:after="120"/>
              <w:ind w:left="284" w:hanging="0"/>
              <w:rPr/>
            </w:pPr>
            <w:r>
              <w:rPr/>
              <w:t>Puesto</w:t>
            </w:r>
          </w:p>
        </w:tc>
        <w:tc>
          <w:tcPr>
            <w:tcW w:w="1114" w:type="dxa"/>
            <w:tcBorders/>
          </w:tcPr>
          <w:p>
            <w:pPr>
              <w:pStyle w:val="Cuerpodetextoconsangra"/>
              <w:spacing w:before="120" w:after="120"/>
              <w:ind w:left="340" w:hanging="0"/>
              <w:rPr/>
            </w:pPr>
            <w:r>
              <w:rPr/>
            </w:r>
          </w:p>
        </w:tc>
      </w:tr>
      <w:tr>
        <w:trPr>
          <w:cantSplit w:val="true"/>
        </w:trPr>
        <w:tc>
          <w:tcPr>
            <w:tcW w:w="1730" w:type="dxa"/>
            <w:tcBorders>
              <w:left w:val="single" w:sz="4" w:space="0" w:color="000000"/>
            </w:tcBorders>
          </w:tcPr>
          <w:p>
            <w:pPr>
              <w:pStyle w:val="Cuerpodetextoconsangra"/>
              <w:spacing w:before="120" w:after="120"/>
              <w:rPr>
                <w:sz w:val="20"/>
              </w:rPr>
            </w:pPr>
            <w:r>
              <w:rPr>
                <w:sz w:val="20"/>
              </w:rPr>
            </w:r>
          </w:p>
        </w:tc>
        <w:tc>
          <w:tcPr>
            <w:tcW w:w="2161" w:type="dxa"/>
            <w:tcBorders/>
          </w:tcPr>
          <w:p>
            <w:pPr>
              <w:pStyle w:val="Cuerpodetextoconsangra"/>
              <w:spacing w:before="120" w:after="120"/>
              <w:rPr>
                <w:sz w:val="20"/>
              </w:rPr>
            </w:pPr>
            <w:r>
              <w:rPr>
                <w:sz w:val="20"/>
              </w:rPr>
            </w:r>
          </w:p>
        </w:tc>
        <w:tc>
          <w:tcPr>
            <w:tcW w:w="2162" w:type="dxa"/>
            <w:tcBorders/>
          </w:tcPr>
          <w:p>
            <w:pPr>
              <w:pStyle w:val="Cuerpodetextoconsangra"/>
              <w:spacing w:before="120" w:after="120"/>
              <w:rPr>
                <w:sz w:val="20"/>
              </w:rPr>
            </w:pPr>
            <w:r>
              <w:rPr>
                <w:sz w:val="20"/>
              </w:rPr>
            </w:r>
          </w:p>
        </w:tc>
        <w:tc>
          <w:tcPr>
            <w:tcW w:w="1113" w:type="dxa"/>
            <w:tcBorders/>
            <w:shd w:color="auto" w:fill="CCCCCC" w:val="clear"/>
          </w:tcPr>
          <w:p>
            <w:pPr>
              <w:pStyle w:val="Tablanombres"/>
              <w:spacing w:before="120" w:after="120"/>
              <w:ind w:left="284" w:hanging="0"/>
              <w:rPr/>
            </w:pPr>
            <w:r>
              <w:rPr/>
              <w:t>Fecha</w:t>
            </w:r>
          </w:p>
        </w:tc>
        <w:tc>
          <w:tcPr>
            <w:tcW w:w="1114" w:type="dxa"/>
            <w:tcBorders/>
          </w:tcPr>
          <w:p>
            <w:pPr>
              <w:pStyle w:val="Cuerpodetextoconsangra"/>
              <w:spacing w:before="120" w:after="120"/>
              <w:ind w:left="340" w:hanging="0"/>
              <w:rPr/>
            </w:pPr>
            <w:r>
              <w:rPr/>
            </w:r>
          </w:p>
        </w:tc>
      </w:tr>
    </w:tbl>
    <w:p>
      <w:pPr>
        <w:pStyle w:val="Cuerpodetextoconsangra"/>
        <w:rPr/>
      </w:pPr>
      <w:r>
        <w:rPr/>
      </w:r>
    </w:p>
    <w:p>
      <w:pPr>
        <w:pStyle w:val="Cuerpodetextoconsangra"/>
        <w:rPr/>
      </w:pPr>
      <w:r>
        <w:rPr/>
        <w:t>El objetivo de esta práctica es mostrar la utilidad práctica de algunas de las propiedades de la DTFT. En concreto se mostrará la utilidad de las propiedades de modulación y enventanado de la DTFT.</w:t>
      </w:r>
    </w:p>
    <w:p>
      <w:pPr>
        <w:pStyle w:val="Cuerpodetextoconsangra"/>
        <w:rPr/>
      </w:pPr>
      <w:r>
        <w:rPr/>
      </w:r>
    </w:p>
    <w:p>
      <w:pPr>
        <w:pStyle w:val="Subttulo"/>
        <w:numPr>
          <w:ilvl w:val="0"/>
          <w:numId w:val="1"/>
        </w:numPr>
        <w:ind w:left="0" w:hanging="0"/>
        <w:rPr/>
      </w:pPr>
      <w:r>
        <w:rPr/>
        <w:t>Introducción</w:t>
      </w:r>
    </w:p>
    <w:p>
      <w:pPr>
        <w:pStyle w:val="Cuerpodetextoconsangra"/>
        <w:rPr/>
      </w:pPr>
      <w:r>
        <w:rPr/>
        <w:t>La representación de Fourier de una señal a través de la DTFT directa e inversa es un punto clave del análisis de señales. Las siguientes ecuaciones son las ecuaciones de análisis y síntesis, respectivamente.</w:t>
      </w:r>
    </w:p>
    <w:p>
      <w:pPr>
        <w:pStyle w:val="Cuerpodetextoconsangra"/>
        <w:tabs>
          <w:tab w:val="clear" w:pos="708"/>
          <w:tab w:val="left" w:pos="2280" w:leader="none"/>
        </w:tabs>
        <w:jc w:val="center"/>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e</m:t>
            </m:r>
          </m:e>
          <m:sup>
            <m:r>
              <w:rPr>
                <w:rFonts w:ascii="Cambria Math" w:hAnsi="Cambria Math"/>
              </w:rPr>
              <m:t xml:space="preserve">jω</m:t>
            </m:r>
          </m:sup>
        </m:sSup>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sub>
          <m:sup>
            <m:r>
              <w:rPr>
                <w:rFonts w:ascii="Cambria Math" w:hAnsi="Cambria Math"/>
              </w:rPr>
              <m:t xml:space="preserve">∞</m:t>
            </m:r>
          </m:sup>
          <m:e>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jωn</m:t>
                </m:r>
              </m:sup>
            </m:sSup>
          </m:e>
        </m:nary>
      </m:oMath>
    </w:p>
    <w:p>
      <w:pPr>
        <w:pStyle w:val="Cuerpodetextoconsangra"/>
        <w:tabs>
          <w:tab w:val="clear" w:pos="708"/>
          <w:tab w:val="left" w:pos="2280" w:leader="none"/>
        </w:tabs>
        <w:jc w:val="center"/>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X</m:t>
            </m:r>
            <m:r>
              <w:rPr>
                <w:rFonts w:ascii="Cambria Math" w:hAnsi="Cambria Math"/>
              </w:rPr>
              <m:t xml:space="preserve">(</m:t>
            </m:r>
            <m:sSup>
              <m:e>
                <m:r>
                  <w:rPr>
                    <w:rFonts w:ascii="Cambria Math" w:hAnsi="Cambria Math"/>
                  </w:rPr>
                  <m:t xml:space="preserve">e</m:t>
                </m:r>
              </m:e>
              <m:sup>
                <m:r>
                  <w:rPr>
                    <w:rFonts w:ascii="Cambria Math" w:hAnsi="Cambria Math"/>
                  </w:rPr>
                  <m:t xml:space="preserve">jω</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jωn</m:t>
                </m:r>
              </m:sup>
            </m:sSup>
            <m:r>
              <w:rPr>
                <w:rFonts w:ascii="Cambria Math" w:hAnsi="Cambria Math"/>
              </w:rPr>
              <m:t xml:space="preserve">dω</m:t>
            </m:r>
          </m:e>
        </m:nary>
      </m:oMath>
    </w:p>
    <w:p>
      <w:pPr>
        <w:pStyle w:val="Cuerpodetextoconsangra"/>
        <w:tabs>
          <w:tab w:val="clear" w:pos="708"/>
          <w:tab w:val="left" w:pos="2280" w:leader="none"/>
        </w:tabs>
        <w:rPr/>
      </w:pPr>
      <w:r>
        <w:rPr/>
        <w:t xml:space="preserve">De forma similar, la respuesta en frecuencia de un sistema, que es la DTFT de la respuesta al impulso, proporciona una descripción concisa de un sistema LTI considerado como un filtro. La DTFT es una función compleja periódica en </w:t>
      </w:r>
      <w:r>
        <w:rPr>
          <w:rFonts w:eastAsia="Symbol" w:cs="Symbol" w:ascii="Symbol" w:hAnsi="Symbol"/>
        </w:rPr>
        <w:t></w:t>
      </w:r>
      <w:r>
        <w:rPr/>
        <w:t xml:space="preserve"> de periodo 2</w:t>
      </w:r>
      <w:r>
        <w:rPr>
          <w:rFonts w:eastAsia="Symbol" w:cs="Symbol" w:ascii="Symbol" w:hAnsi="Symbol"/>
        </w:rPr>
        <w:t></w:t>
      </w:r>
      <w:r>
        <w:rPr/>
        <w:t>. El periodo que se suele considerar es el que va de -</w:t>
      </w:r>
      <w:r>
        <w:rPr>
          <w:rFonts w:eastAsia="Symbol" w:cs="Symbol" w:ascii="Symbol" w:hAnsi="Symbol"/>
        </w:rPr>
        <w:t></w:t>
      </w:r>
      <w:r>
        <w:rPr/>
        <w:t xml:space="preserve"> a +</w:t>
      </w:r>
      <w:r>
        <w:rPr>
          <w:rFonts w:eastAsia="Symbol" w:cs="Symbol" w:ascii="Symbol" w:hAnsi="Symbol"/>
        </w:rPr>
        <w:t></w:t>
      </w:r>
      <w:r>
        <w:rPr/>
        <w:t>.</w:t>
      </w:r>
    </w:p>
    <w:p>
      <w:pPr>
        <w:pStyle w:val="Cuerpodetextoconsangra"/>
        <w:tabs>
          <w:tab w:val="clear" w:pos="708"/>
          <w:tab w:val="left" w:pos="2280" w:leader="none"/>
        </w:tabs>
        <w:rPr/>
      </w:pPr>
      <w:r>
        <w:rPr/>
        <w:t>En el contexto de MATLAB, donde la computabilidad es muy importante, la DTFT presenta dos problemas:</w:t>
      </w:r>
    </w:p>
    <w:p>
      <w:pPr>
        <w:pStyle w:val="Cuerpodetextoconsangra"/>
        <w:numPr>
          <w:ilvl w:val="0"/>
          <w:numId w:val="2"/>
        </w:numPr>
        <w:tabs>
          <w:tab w:val="clear" w:pos="708"/>
          <w:tab w:val="left" w:pos="1080" w:leader="none"/>
        </w:tabs>
        <w:rPr/>
      </w:pPr>
      <w:r>
        <w:rPr/>
        <w:t>Su definición es válida para señales infinitamente largas.</w:t>
      </w:r>
    </w:p>
    <w:p>
      <w:pPr>
        <w:pStyle w:val="Cuerpodetextoconsangra"/>
        <w:numPr>
          <w:ilvl w:val="0"/>
          <w:numId w:val="2"/>
        </w:numPr>
        <w:tabs>
          <w:tab w:val="clear" w:pos="708"/>
          <w:tab w:val="left" w:pos="1080" w:leader="none"/>
        </w:tabs>
        <w:rPr/>
      </w:pPr>
      <w:r>
        <w:rPr/>
        <w:t xml:space="preserve">Es una función de una variable continua </w:t>
      </w:r>
      <w:r>
        <w:rPr>
          <w:rFonts w:eastAsia="Symbol" w:cs="Symbol" w:ascii="Symbol" w:hAnsi="Symbol"/>
        </w:rPr>
        <w:t></w:t>
      </w:r>
      <w:r>
        <w:rPr/>
        <w:t>.</w:t>
      </w:r>
    </w:p>
    <w:p>
      <w:pPr>
        <w:pStyle w:val="Cuerpodetextoconsangra"/>
        <w:tabs>
          <w:tab w:val="clear" w:pos="708"/>
          <w:tab w:val="left" w:pos="1080" w:leader="none"/>
        </w:tabs>
        <w:rPr/>
      </w:pPr>
      <w:r>
        <w:rPr/>
        <w:t xml:space="preserve">El primer problema es un problema porque cualquier vector o señal en MATLAB debe ser de longitud finita. Tenemos, por tanto, el problema de que MATLAB no va a ser capaz de calcular la DTFT de una señal de duración infinita. </w:t>
      </w:r>
    </w:p>
    <w:p>
      <w:pPr>
        <w:pStyle w:val="Cuerpodetextoconsangra"/>
        <w:tabs>
          <w:tab w:val="clear" w:pos="708"/>
          <w:tab w:val="left" w:pos="1080" w:leader="none"/>
        </w:tabs>
        <w:rPr/>
      </w:pPr>
      <w:r>
        <w:rPr/>
        <w:t>El segundo problema se resuelve, como todo problema de señales continuas en MATLAB, mediante muestreado de la DTFT en un número finito de puntos de frecuencia. Normalmente podemos elegir un número elevado de frecuencias, de forma que nuestros gráficos resulten aproximaciones suficientemente suaves a la verdadera DTFT. La mejor opción para una computación eficiente es un conjunto de puntos equiespaciados en el intervalo de -</w:t>
      </w:r>
      <w:r>
        <w:rPr>
          <w:rFonts w:eastAsia="Symbol" w:cs="Symbol" w:ascii="Symbol" w:hAnsi="Symbol"/>
        </w:rPr>
        <w:t></w:t>
      </w:r>
      <w:r>
        <w:rPr/>
        <w:t xml:space="preserve"> a +</w:t>
      </w:r>
      <w:r>
        <w:rPr>
          <w:rFonts w:eastAsia="Symbol" w:cs="Symbol" w:ascii="Symbol" w:hAnsi="Symbol"/>
        </w:rPr>
        <w:t></w:t>
      </w:r>
      <w:r>
        <w:rPr/>
        <w:t>. Con este muestreo la DTFT directa queda como:</w:t>
      </w:r>
    </w:p>
    <w:p>
      <w:pPr>
        <w:pStyle w:val="Cuerpodetextoconsangra"/>
        <w:tabs>
          <w:tab w:val="clear" w:pos="708"/>
          <w:tab w:val="left" w:pos="2280" w:leader="none"/>
        </w:tabs>
        <w:ind w:left="0" w:hanging="0"/>
        <w:rPr/>
      </w:pPr>
      <w:r>
        <w:rPr/>
        <w:tab/>
      </w: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e</m:t>
            </m:r>
          </m:e>
          <m:sup>
            <m:sSub>
              <m:e>
                <m:r>
                  <w:rPr>
                    <w:rFonts w:ascii="Cambria Math" w:hAnsi="Cambria Math"/>
                  </w:rPr>
                  <m:t xml:space="preserve">jω</m:t>
                </m:r>
              </m:e>
              <m:sub>
                <m:r>
                  <w:rPr>
                    <w:rFonts w:ascii="Cambria Math" w:hAnsi="Cambria Math"/>
                  </w:rPr>
                  <m:t xml:space="preserve">k</m:t>
                </m:r>
              </m:sub>
            </m:sSub>
          </m:sup>
        </m:sSup>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e</m:t>
            </m:r>
          </m:e>
          <m:sup>
            <m:r>
              <w:rPr>
                <w:rFonts w:ascii="Cambria Math" w:hAnsi="Cambria Math"/>
              </w:rPr>
              <m:t xml:space="preserve">j</m:t>
            </m:r>
            <m:f>
              <m:num>
                <m:r>
                  <w:rPr>
                    <w:rFonts w:ascii="Cambria Math" w:hAnsi="Cambria Math"/>
                  </w:rPr>
                  <m:t xml:space="preserve">2</m:t>
                </m:r>
                <m:r>
                  <w:rPr>
                    <w:rFonts w:ascii="Cambria Math" w:hAnsi="Cambria Math"/>
                  </w:rPr>
                  <m:t xml:space="preserve">πk</m:t>
                </m:r>
              </m:num>
              <m:den>
                <m:r>
                  <w:rPr>
                    <w:rFonts w:ascii="Cambria Math" w:hAnsi="Cambria Math"/>
                  </w:rPr>
                  <m:t xml:space="preserve">N</m:t>
                </m:r>
              </m:den>
            </m:f>
          </m:sup>
        </m:sSup>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L</m:t>
            </m:r>
            <m:r>
              <w:rPr>
                <w:rFonts w:ascii="Cambria Math" w:hAnsi="Cambria Math"/>
              </w:rPr>
              <m:t xml:space="preserve">−</m:t>
            </m:r>
            <m:r>
              <w:rPr>
                <w:rFonts w:ascii="Cambria Math" w:hAnsi="Cambria Math"/>
              </w:rPr>
              <m:t xml:space="preserve">1</m:t>
            </m:r>
          </m:sup>
          <m:e>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j</m:t>
                </m:r>
                <m:f>
                  <m:num>
                    <m:r>
                      <w:rPr>
                        <w:rFonts w:ascii="Cambria Math" w:hAnsi="Cambria Math"/>
                      </w:rPr>
                      <m:t xml:space="preserve">2</m:t>
                    </m:r>
                    <m:r>
                      <w:rPr>
                        <w:rFonts w:ascii="Cambria Math" w:hAnsi="Cambria Math"/>
                      </w:rPr>
                      <m:t xml:space="preserve">πk</m:t>
                    </m:r>
                  </m:num>
                  <m:den>
                    <m:r>
                      <w:rPr>
                        <w:rFonts w:ascii="Cambria Math" w:hAnsi="Cambria Math"/>
                      </w:rPr>
                      <m:t xml:space="preserve">N</m:t>
                    </m:r>
                  </m:den>
                </m:f>
                <m:r>
                  <w:rPr>
                    <w:rFonts w:ascii="Cambria Math" w:hAnsi="Cambria Math"/>
                  </w:rPr>
                  <m:t xml:space="preserve">n</m:t>
                </m:r>
              </m:sup>
            </m:sSup>
          </m:e>
        </m:nary>
        <m:m>
          <m:mr>
            <m:e>
              <m:r>
                <w:rPr>
                  <w:rFonts w:ascii="Cambria Math" w:hAnsi="Cambria Math"/>
                </w:rPr>
                <m:t xml:space="preserve">,</m:t>
              </m:r>
            </m:e>
            <m:e>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mr>
        </m:m>
      </m:oMath>
    </w:p>
    <w:p>
      <w:pPr>
        <w:pStyle w:val="Cuerpodetextoconsangra"/>
        <w:rPr/>
      </w:pPr>
      <w:r>
        <w:rPr/>
        <w:t>La periodicidad de la DTFT implica que los valores entre -</w:t>
      </w:r>
      <w:r>
        <w:rPr>
          <w:rFonts w:eastAsia="Symbol" w:cs="Symbol" w:ascii="Symbol" w:hAnsi="Symbol"/>
        </w:rPr>
        <w:t></w:t>
      </w:r>
      <w:r>
        <w:rPr/>
        <w:t xml:space="preserve"> y 0 son los correspondientes a k&gt;N/2. </w:t>
      </w:r>
    </w:p>
    <w:p>
      <w:pPr>
        <w:pStyle w:val="Cuerpodetextoconsangra"/>
        <w:rPr/>
      </w:pPr>
      <w:r>
        <w:rPr/>
        <w:t xml:space="preserve">La fórmula anterior es computable porque es una suma finita de términos evaluada en un número finito de frecuencias </w:t>
      </w:r>
      <w:r>
        <w:rPr>
          <w:rFonts w:eastAsia="Symbol" w:cs="Symbol" w:ascii="Symbol" w:hAnsi="Symbol"/>
        </w:rPr>
        <w:t></w:t>
      </w:r>
      <w:r>
        <w:rPr>
          <w:vertAlign w:val="subscript"/>
        </w:rPr>
        <w:t>k</w:t>
      </w:r>
      <w:r>
        <w:rPr/>
        <w:t>=2k</w:t>
      </w:r>
      <w:r>
        <w:rPr>
          <w:rFonts w:eastAsia="Symbol" w:cs="Symbol" w:ascii="Symbol" w:hAnsi="Symbol"/>
        </w:rPr>
        <w:t></w:t>
      </w:r>
      <w:r>
        <w:rPr/>
        <w:t xml:space="preserve">/N. Para aplicar esta fórmula, la longitud de la señal debe ser finita y de duración inferior o igual a L. </w:t>
      </w:r>
    </w:p>
    <w:p>
      <w:pPr>
        <w:pStyle w:val="Cuerpodetextoconsangra"/>
        <w:rPr/>
      </w:pPr>
      <w:r>
        <w:rPr/>
        <w:t>Al muestrear la DTFT asumiremos que vamos a calcular la DTFT en más frecuencias que puntos tenía la señal original, es decir que siempre supondremos que N&gt;=L.</w:t>
      </w:r>
    </w:p>
    <w:p>
      <w:pPr>
        <w:pStyle w:val="Subttulo"/>
        <w:numPr>
          <w:ilvl w:val="0"/>
          <w:numId w:val="1"/>
        </w:numPr>
        <w:ind w:left="0" w:hanging="0"/>
        <w:rPr>
          <w:sz w:val="22"/>
        </w:rPr>
      </w:pPr>
      <w:r>
        <w:rPr>
          <w:sz w:val="24"/>
        </w:rPr>
        <w:t xml:space="preserve">Función para calcular la DTFT (Resultado: </w:t>
      </w:r>
      <w:r>
        <w:rPr>
          <w:rFonts w:cs="Courier New" w:ascii="Courier New" w:hAnsi="Courier New"/>
          <w:b w:val="false"/>
          <w:bCs w:val="false"/>
          <w:sz w:val="20"/>
          <w:lang w:val="en-GB"/>
        </w:rPr>
        <w:t>dtft.m</w:t>
      </w:r>
      <w:r>
        <w:rPr>
          <w:sz w:val="24"/>
        </w:rPr>
        <w:t>)</w:t>
      </w:r>
    </w:p>
    <w:p>
      <w:pPr>
        <w:pStyle w:val="Cuerpodetextoconsangra"/>
        <w:rPr/>
      </w:pPr>
      <w:r>
        <w:rPr/>
        <w:t xml:space="preserve">En Matlab sólo podemos calcular un muestreo de la DTFT, y eso se calcula de forma muy eficiente mediante un algoritmo que se conoce como Fast Fourier Transform (FFT). Para ello generaremos una función </w:t>
      </w:r>
      <w:r>
        <w:rPr>
          <w:rFonts w:cs="Courier New" w:ascii="Courier New" w:hAnsi="Courier New"/>
        </w:rPr>
        <w:t>dtft(h,N)</w:t>
      </w:r>
      <w:r>
        <w:rPr/>
        <w:t xml:space="preserve"> que calcule la DTFT de una secuencia h en N puntos de frecuencia.</w:t>
      </w:r>
    </w:p>
    <w:p>
      <w:pPr>
        <w:pStyle w:val="Cuerpodetextoconsangra"/>
        <w:rPr/>
      </w:pPr>
      <w:r>
        <w:rPr/>
        <w:t xml:space="preserve">A continuación aparece la función que debemos escribir (para evitar perder el tiempo copiando esta función se puede descargar de la página Moodle de la asignatura, pero conviene al menos leer la función para tener una idea de cómo funciona): </w:t>
      </w:r>
    </w:p>
    <w:p>
      <w:pPr>
        <w:pStyle w:val="Codigo"/>
        <w:rPr/>
      </w:pPr>
      <w:r>
        <w:rPr/>
        <w:t>function [H,W] = dtft( h, N )</w:t>
      </w:r>
    </w:p>
    <w:p>
      <w:pPr>
        <w:pStyle w:val="Codigo"/>
        <w:rPr/>
      </w:pPr>
      <w:r>
        <w:rPr/>
        <w:t>%DTFT calculate DTFT at N equally spaced frecuencies</w:t>
      </w:r>
    </w:p>
    <w:p>
      <w:pPr>
        <w:pStyle w:val="Codigo"/>
        <w:rPr/>
      </w:pPr>
      <w:r>
        <w:rPr/>
        <w:t>%   usage: H = dtft( h, N )</w:t>
      </w:r>
    </w:p>
    <w:p>
      <w:pPr>
        <w:pStyle w:val="Codigo"/>
        <w:rPr/>
      </w:pPr>
      <w:r>
        <w:rPr/>
        <w:t>%       h: finite-length input vector, whose length is L</w:t>
      </w:r>
    </w:p>
    <w:p>
      <w:pPr>
        <w:pStyle w:val="Codigo"/>
        <w:rPr/>
      </w:pPr>
      <w:r>
        <w:rPr/>
        <w:t>%       N: number of frequencies for evaluation over [-pi, pi)</w:t>
      </w:r>
    </w:p>
    <w:p>
      <w:pPr>
        <w:pStyle w:val="Codigo"/>
        <w:rPr>
          <w:lang w:val="fr-FR"/>
        </w:rPr>
      </w:pPr>
      <w:r>
        <w:rPr>
          <w:lang w:val="fr-FR"/>
        </w:rPr>
        <w:t>%         ==&gt; constraint: N&gt;=L</w:t>
      </w:r>
    </w:p>
    <w:p>
      <w:pPr>
        <w:pStyle w:val="Codigo"/>
        <w:rPr>
          <w:lang w:val="fr-FR"/>
        </w:rPr>
      </w:pPr>
      <w:r>
        <w:rPr>
          <w:lang w:val="fr-FR"/>
        </w:rPr>
        <w:t xml:space="preserve">% </w:t>
      </w:r>
    </w:p>
    <w:p>
      <w:pPr>
        <w:pStyle w:val="Codigo"/>
        <w:rPr/>
      </w:pPr>
      <w:r>
        <w:rPr/>
        <w:t>%       H: DTFT values (complex)</w:t>
      </w:r>
    </w:p>
    <w:p>
      <w:pPr>
        <w:pStyle w:val="Codigo"/>
        <w:rPr/>
      </w:pPr>
      <w:r>
        <w:rPr/>
        <w:t>%       W: (2nd output) vector of freqs where DTFT is computed</w:t>
      </w:r>
    </w:p>
    <w:p>
      <w:pPr>
        <w:pStyle w:val="Codigo"/>
        <w:rPr>
          <w:lang w:val="fr-FR"/>
        </w:rPr>
      </w:pPr>
      <w:r>
        <w:rPr>
          <w:lang w:val="fr-FR"/>
        </w:rPr>
        <w:t>%</w:t>
      </w:r>
    </w:p>
    <w:p>
      <w:pPr>
        <w:pStyle w:val="Codigo"/>
        <w:rPr>
          <w:lang w:val="fr-FR"/>
        </w:rPr>
      </w:pPr>
      <w:r>
        <w:rPr>
          <w:lang w:val="fr-FR"/>
        </w:rPr>
        <w:t>N=fix(N);</w:t>
      </w:r>
    </w:p>
    <w:p>
      <w:pPr>
        <w:pStyle w:val="Codigo"/>
        <w:rPr/>
      </w:pPr>
      <w:r>
        <w:rPr/>
        <w:t>L=length(h) ; h=h( : ); %&lt;-- for vectors ONLY!!!</w:t>
      </w:r>
    </w:p>
    <w:p>
      <w:pPr>
        <w:pStyle w:val="Codigo"/>
        <w:rPr/>
      </w:pPr>
      <w:r>
        <w:rPr/>
        <w:t>if (N&lt;L)</w:t>
      </w:r>
    </w:p>
    <w:p>
      <w:pPr>
        <w:pStyle w:val="Codigo"/>
        <w:rPr/>
      </w:pPr>
      <w:r>
        <w:rPr/>
        <w:t xml:space="preserve">  </w:t>
      </w:r>
      <w:r>
        <w:rPr/>
        <w:t>error('DTFT: # data samples cannot exceed # freq samples')</w:t>
      </w:r>
    </w:p>
    <w:p>
      <w:pPr>
        <w:pStyle w:val="Codigo"/>
        <w:rPr/>
      </w:pPr>
      <w:r>
        <w:rPr/>
        <w:t>end</w:t>
      </w:r>
    </w:p>
    <w:p>
      <w:pPr>
        <w:pStyle w:val="Codigo"/>
        <w:rPr/>
      </w:pPr>
      <w:r>
        <w:rPr/>
        <w:t>W = (2*pi/N) * [0:(N-1)]';</w:t>
      </w:r>
    </w:p>
    <w:p>
      <w:pPr>
        <w:pStyle w:val="Codigo"/>
        <w:rPr/>
      </w:pPr>
      <w:r>
        <w:rPr/>
        <w:t>mid=ceil(N/2) + 1;</w:t>
      </w:r>
    </w:p>
    <w:p>
      <w:pPr>
        <w:pStyle w:val="Codigo"/>
        <w:rPr/>
      </w:pPr>
      <w:r>
        <w:rPr/>
        <w:t>W(mid:N)=W(mid:N)-2*pi; %&lt;-- move [pi, 2pi) to [-pi, 0)</w:t>
      </w:r>
    </w:p>
    <w:p>
      <w:pPr>
        <w:pStyle w:val="Codigo"/>
        <w:rPr/>
      </w:pPr>
      <w:r>
        <w:rPr/>
        <w:t>W=fftshift(W);</w:t>
      </w:r>
    </w:p>
    <w:p>
      <w:pPr>
        <w:pStyle w:val="Codigo"/>
        <w:rPr/>
      </w:pPr>
      <w:r>
        <w:rPr/>
        <w:t>H=fftshift(fft(h,N)); %&lt;-- move negative freq components.</w:t>
      </w:r>
    </w:p>
    <w:p>
      <w:pPr>
        <w:pStyle w:val="Cuerpodetextoconsangra"/>
        <w:rPr/>
      </w:pPr>
      <w:r>
        <w:rPr/>
        <w:t xml:space="preserve">Observe que no es necesario proporcionar la longitud de la señal de entrada. Se obtiene directamente de la señal. Como la DTFT es periódica, la región de </w:t>
      </w:r>
      <w:r>
        <w:rPr>
          <w:rFonts w:eastAsia="Symbol" w:cs="Symbol" w:ascii="Symbol" w:hAnsi="Symbol"/>
        </w:rPr>
        <w:t></w:t>
      </w:r>
      <w:r>
        <w:rPr/>
        <w:t xml:space="preserve"> a 2</w:t>
      </w:r>
      <w:r>
        <w:rPr>
          <w:rFonts w:eastAsia="Symbol" w:cs="Symbol" w:ascii="Symbol" w:hAnsi="Symbol"/>
        </w:rPr>
        <w:t></w:t>
      </w:r>
      <w:r>
        <w:rPr/>
        <w:t xml:space="preserve"> se transforma en la región de -</w:t>
      </w:r>
      <w:r>
        <w:rPr>
          <w:rFonts w:eastAsia="Symbol" w:cs="Symbol" w:ascii="Symbol" w:hAnsi="Symbol"/>
        </w:rPr>
        <w:t></w:t>
      </w:r>
      <w:r>
        <w:rPr/>
        <w:t xml:space="preserve"> a 0. La función </w:t>
      </w:r>
      <w:r>
        <w:rPr>
          <w:rFonts w:cs="Courier New" w:ascii="Courier New" w:hAnsi="Courier New"/>
        </w:rPr>
        <w:t>fftshift</w:t>
      </w:r>
      <w:r>
        <w:rPr/>
        <w:t xml:space="preserve"> de MATLAB permite hacer esa transformación de frecuencias y de valores de la DTFT. </w:t>
      </w:r>
    </w:p>
    <w:p>
      <w:pPr>
        <w:pStyle w:val="Cuerpodetextoconsangra"/>
        <w:rPr/>
      </w:pPr>
      <w:r>
        <w:rPr/>
      </w:r>
    </w:p>
    <w:p>
      <w:pPr>
        <w:pStyle w:val="Subttulo"/>
        <w:numPr>
          <w:ilvl w:val="0"/>
          <w:numId w:val="1"/>
        </w:numPr>
        <w:ind w:left="0" w:hanging="0"/>
        <w:rPr>
          <w:sz w:val="22"/>
        </w:rPr>
      </w:pPr>
      <w:r>
        <w:rPr>
          <w:sz w:val="22"/>
        </w:rPr>
        <w:t xml:space="preserve">Programación de la función </w:t>
      </w:r>
      <w:r>
        <w:rPr>
          <w:rFonts w:cs="Courier New" w:ascii="Courier New" w:hAnsi="Courier New"/>
          <w:sz w:val="22"/>
        </w:rPr>
        <w:t>plot_dtft(h,N)</w:t>
      </w:r>
      <w:r>
        <w:rPr>
          <w:sz w:val="24"/>
        </w:rPr>
        <w:t xml:space="preserve"> (Resultado: </w:t>
      </w:r>
      <w:r>
        <w:rPr>
          <w:rFonts w:cs="Courier New" w:ascii="Courier New" w:hAnsi="Courier New"/>
          <w:b w:val="false"/>
          <w:bCs w:val="false"/>
          <w:sz w:val="20"/>
        </w:rPr>
        <w:t>plot_dtft.m</w:t>
      </w:r>
      <w:r>
        <w:rPr>
          <w:sz w:val="24"/>
        </w:rPr>
        <w:t>)</w:t>
      </w:r>
    </w:p>
    <w:p>
      <w:pPr>
        <w:pStyle w:val="Cuerpodetextoconsangra"/>
        <w:rPr/>
      </w:pPr>
      <w:r>
        <w:rPr/>
        <w:t xml:space="preserve">Genere una función </w:t>
      </w:r>
      <w:r>
        <w:rPr>
          <w:rFonts w:cs="Courier New" w:ascii="Courier New" w:hAnsi="Courier New"/>
        </w:rPr>
        <w:t>plot_dtft(h,N)</w:t>
      </w:r>
      <w:r>
        <w:rPr/>
        <w:t xml:space="preserve"> que, llamando a la función </w:t>
      </w:r>
      <w:r>
        <w:rPr>
          <w:rFonts w:cs="Courier New" w:ascii="Courier New" w:hAnsi="Courier New"/>
        </w:rPr>
        <w:t>dtft(h,N)</w:t>
      </w:r>
      <w:r>
        <w:rPr/>
        <w:t>, muestre el diagrama de respuesta en amplitud y respuesta en fase que se muestra a continuación:</w:t>
      </w:r>
    </w:p>
    <w:p>
      <w:pPr>
        <w:pStyle w:val="Cuerpodetextoconsangra"/>
        <w:rPr/>
      </w:pPr>
      <w:r>
        <w:rPr/>
      </w:r>
    </w:p>
    <w:p>
      <w:pPr>
        <w:pStyle w:val="Cuerpodetextoconsangra"/>
        <w:rPr/>
      </w:pPr>
      <w:r>
        <w:rPr/>
        <mc:AlternateContent>
          <mc:Choice Requires="wps">
            <w:drawing>
              <wp:inline distT="0" distB="0" distL="0" distR="0">
                <wp:extent cx="5400675" cy="3045460"/>
                <wp:effectExtent l="0" t="0" r="0" b="0"/>
                <wp:docPr id="1" name="Imagen 1"/>
                <a:graphic xmlns:a="http://schemas.openxmlformats.org/drawingml/2006/main">
                  <a:graphicData uri="http://schemas.openxmlformats.org/drawingml/2006/picture">
                    <pic:pic xmlns:pic="http://schemas.openxmlformats.org/drawingml/2006/picture">
                      <pic:nvPicPr>
                        <pic:cNvPr id="0" name="Imagen 1" descr=""/>
                        <pic:cNvPicPr/>
                      </pic:nvPicPr>
                      <pic:blipFill>
                        <a:blip r:embed="rId2"/>
                        <a:srcRect l="0" t="17526" r="0" b="0"/>
                        <a:stretch/>
                      </pic:blipFill>
                      <pic:spPr>
                        <a:xfrm>
                          <a:off x="0" y="0"/>
                          <a:ext cx="5400000" cy="30448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style="position:absolute;margin-left:0pt;margin-top:-239.8pt;width:425.15pt;height:239.7pt;mso-position-vertical:top" type="shapetype_75">
                <v:imagedata r:id="rId2" o:detectmouseclick="t"/>
                <w10:wrap type="none"/>
                <v:stroke color="#3465a4" joinstyle="round" endcap="flat"/>
              </v:shape>
            </w:pict>
          </mc:Fallback>
        </mc:AlternateContent>
      </w:r>
    </w:p>
    <w:p>
      <w:pPr>
        <w:pStyle w:val="Cuerpodetextoconsangra"/>
        <w:rPr/>
      </w:pPr>
      <w:r>
        <w:rPr/>
        <w:t xml:space="preserve">El diagrama anterior ha sido conseguido con </w:t>
      </w:r>
      <w:r>
        <w:rPr>
          <w:rFonts w:cs="Courier New" w:ascii="Courier New" w:hAnsi="Courier New"/>
        </w:rPr>
        <w:t>N=128</w:t>
      </w:r>
      <w:r>
        <w:rPr/>
        <w:t xml:space="preserve"> y la señal de entrada </w:t>
      </w:r>
      <w:r>
        <w:rPr>
          <w:rFonts w:cs="Courier New" w:ascii="Courier New" w:hAnsi="Courier New"/>
          <w:sz w:val="20"/>
        </w:rPr>
        <w:t xml:space="preserve">xn </w:t>
      </w:r>
      <w:r>
        <w:rPr/>
        <w:t>definida como:</w:t>
      </w:r>
    </w:p>
    <w:p>
      <w:pPr>
        <w:pStyle w:val="Codigo"/>
        <w:rPr/>
      </w:pPr>
      <w:r>
        <w:rPr/>
        <w:t xml:space="preserve">nn = 0:40; </w:t>
      </w:r>
    </w:p>
    <w:p>
      <w:pPr>
        <w:pStyle w:val="Codigo"/>
        <w:rPr/>
      </w:pPr>
      <w:r>
        <w:rPr/>
        <w:t>a = 0.88 * exp(j*2*pi/5);</w:t>
      </w:r>
    </w:p>
    <w:p>
      <w:pPr>
        <w:pStyle w:val="Codigo"/>
        <w:rPr>
          <w:lang w:val="fr-FR"/>
        </w:rPr>
      </w:pPr>
      <w:r>
        <w:rPr>
          <w:lang w:val="fr-FR"/>
        </w:rPr>
        <w:t>xn = a.^nn;</w:t>
      </w:r>
    </w:p>
    <w:p>
      <w:pPr>
        <w:pStyle w:val="Cuerpodetextoconsangra"/>
        <w:rPr/>
      </w:pPr>
      <w:r>
        <w:rPr/>
        <w:t>Emplee dicha señal para comprobar que el diagrama de magnitud y fase coinciden, de forma que compruebe la ausencia de errores en la función realizada.</w:t>
      </w:r>
    </w:p>
    <w:p>
      <w:pPr>
        <w:pStyle w:val="Cuerpodetextoconsangra"/>
        <w:rPr/>
      </w:pPr>
      <w:r>
        <w:rPr/>
        <w:t xml:space="preserve">NOTA: La frecuencia normalizada es </w:t>
      </w:r>
      <w:r>
        <w:rPr>
          <w:rFonts w:eastAsia="Symbol" w:cs="Symbol" w:ascii="Symbol" w:hAnsi="Symbol"/>
        </w:rPr>
        <w:t></w:t>
      </w:r>
      <w:r>
        <w:rPr/>
        <w:t>/</w:t>
      </w:r>
      <w:r>
        <w:rPr>
          <w:rFonts w:eastAsia="Symbol" w:cs="Symbol" w:ascii="Symbol" w:hAnsi="Symbol"/>
        </w:rPr>
        <w:t></w:t>
      </w:r>
      <w:r>
        <w:rPr/>
        <w:t>.</w:t>
      </w:r>
    </w:p>
    <w:p>
      <w:pPr>
        <w:pStyle w:val="Cuerpodetextoconsangra"/>
        <w:rPr/>
      </w:pPr>
      <w:r>
        <w:rPr/>
      </w:r>
    </w:p>
    <w:p>
      <w:pPr>
        <w:pStyle w:val="Subttulo"/>
        <w:numPr>
          <w:ilvl w:val="0"/>
          <w:numId w:val="1"/>
        </w:numPr>
        <w:ind w:left="0" w:hanging="0"/>
        <w:rPr>
          <w:sz w:val="22"/>
        </w:rPr>
      </w:pPr>
      <w:r>
        <w:rPr>
          <w:sz w:val="22"/>
        </w:rPr>
        <w:t xml:space="preserve">Propiedad de Modulación </w:t>
      </w:r>
      <w:r>
        <w:rPr>
          <w:sz w:val="24"/>
        </w:rPr>
        <w:t xml:space="preserve">(Resultado: </w:t>
      </w:r>
      <w:r>
        <w:rPr>
          <w:rFonts w:cs="Courier New" w:ascii="Courier New" w:hAnsi="Courier New"/>
          <w:b w:val="false"/>
          <w:bCs w:val="false"/>
          <w:sz w:val="20"/>
        </w:rPr>
        <w:t>ejercicio_4.m</w:t>
      </w:r>
      <w:r>
        <w:rPr>
          <w:sz w:val="24"/>
        </w:rPr>
        <w:t>)</w:t>
      </w:r>
    </w:p>
    <w:p>
      <w:pPr>
        <w:pStyle w:val="Cuerpodetextoconsangra"/>
        <w:rPr/>
      </w:pPr>
      <w:r>
        <w:rPr/>
        <w:t xml:space="preserve">Muchas propiedades de la DTFT tienen interpretaciones y aplicaciones útiles. Una de estas propiedades es la propiedad de modulación (compleja), que encuentra aplicación en los campos de comunicaciones y radar. Si una señal x[n] se multiplica por una exponencial compleja, </w:t>
      </w:r>
      <w:r>
        <w:rPr/>
      </w:r>
      <m:oMath xmlns:m="http://schemas.openxmlformats.org/officeDocument/2006/math">
        <m:sSup>
          <m:e>
            <m:r>
              <w:rPr>
                <w:rFonts w:ascii="Cambria Math" w:hAnsi="Cambria Math"/>
              </w:rPr>
              <m:t xml:space="preserve">e</m:t>
            </m:r>
          </m:e>
          <m:sup>
            <m:sSub>
              <m:e>
                <m:r>
                  <w:rPr>
                    <w:rFonts w:ascii="Cambria Math" w:hAnsi="Cambria Math"/>
                  </w:rPr>
                  <m:t xml:space="preserve">jω</m:t>
                </m:r>
              </m:e>
              <m:sub>
                <m:r>
                  <w:rPr>
                    <w:rFonts w:ascii="Cambria Math" w:hAnsi="Cambria Math"/>
                  </w:rPr>
                  <m:t xml:space="preserve">0</m:t>
                </m:r>
              </m:sub>
            </m:sSub>
            <m:r>
              <w:rPr>
                <w:rFonts w:ascii="Cambria Math" w:hAnsi="Cambria Math"/>
              </w:rPr>
              <m:t xml:space="preserve">n</m:t>
            </m:r>
          </m:sup>
        </m:sSup>
      </m:oMath>
      <w:r>
        <w:rPr/>
        <w:t xml:space="preserve">, el resultado en el dominio transformado es un desplazamiento en frecuencia de </w:t>
      </w:r>
      <w:r>
        <w:rPr>
          <w:rFonts w:eastAsia="Symbol" w:cs="Symbol" w:ascii="Symbol" w:hAnsi="Symbol"/>
        </w:rPr>
        <w:t></w:t>
      </w:r>
      <w:r>
        <w:rPr>
          <w:vertAlign w:val="subscript"/>
        </w:rPr>
        <w:t>0</w:t>
      </w:r>
      <w:r>
        <w:rPr/>
        <w:t xml:space="preserve">; </w:t>
      </w: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e</m:t>
            </m:r>
          </m:e>
          <m:sup>
            <m:r>
              <w:rPr>
                <w:rFonts w:ascii="Cambria Math" w:hAnsi="Cambria Math"/>
              </w:rPr>
              <m:t xml:space="preserve">jω</m:t>
            </m:r>
          </m:sup>
        </m:sSup>
        <m:r>
          <w:rPr>
            <w:rFonts w:ascii="Cambria Math" w:hAnsi="Cambria Math"/>
          </w:rPr>
          <m:t xml:space="preserve">)</m:t>
        </m:r>
      </m:oMath>
      <w:r>
        <w:rPr/>
        <w:t xml:space="preserve">se convierte en </w:t>
      </w: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e</m:t>
            </m:r>
          </m:e>
          <m:sup>
            <m:r>
              <w:rPr>
                <w:rFonts w:ascii="Cambria Math" w:hAnsi="Cambria Math"/>
              </w:rPr>
              <m:t xml:space="preserve">j</m:t>
            </m:r>
            <m:r>
              <w:rPr>
                <w:rFonts w:ascii="Cambria Math" w:hAnsi="Cambria Math"/>
              </w:rPr>
              <m:t xml:space="preserve">(</m:t>
            </m:r>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w:rPr>
                <w:rFonts w:ascii="Cambria Math" w:hAnsi="Cambria Math"/>
              </w:rPr>
              <m:t xml:space="preserve">)</m:t>
            </m:r>
          </m:sup>
        </m:sSup>
        <m:r>
          <w:rPr>
            <w:rFonts w:ascii="Cambria Math" w:hAnsi="Cambria Math"/>
          </w:rPr>
          <m:t xml:space="preserve">)</m:t>
        </m:r>
      </m:oMath>
      <w:r>
        <w:rPr/>
        <w:t>.</w:t>
      </w:r>
    </w:p>
    <w:p>
      <w:pPr>
        <w:pStyle w:val="Cuerpodetextoconsangra"/>
        <w:rPr/>
      </w:pPr>
      <w:r>
        <w:rPr/>
      </w:r>
    </w:p>
    <w:p>
      <w:pPr>
        <w:pStyle w:val="Cuerpodetextoconsangra"/>
        <w:numPr>
          <w:ilvl w:val="0"/>
          <w:numId w:val="3"/>
        </w:numPr>
        <w:tabs>
          <w:tab w:val="clear" w:pos="708"/>
          <w:tab w:val="left" w:pos="1080" w:leader="none"/>
        </w:tabs>
        <w:rPr/>
      </w:pPr>
      <w:r>
        <w:rPr/>
        <w:t xml:space="preserve">Demostrar esta propiedad para un pulso rectangular. Tomar la longitud del pulso (número de muestras a 1) como L=21 y  tomar </w:t>
      </w:r>
      <w:r>
        <w:rPr>
          <w:rFonts w:eastAsia="Symbol" w:cs="Symbol" w:ascii="Symbol" w:hAnsi="Symbol"/>
        </w:rPr>
        <w:t></w:t>
      </w:r>
      <w:r>
        <w:rPr>
          <w:vertAlign w:val="subscript"/>
        </w:rPr>
        <w:t>0</w:t>
      </w:r>
      <w:r>
        <w:rPr/>
        <w:t>=2</w:t>
      </w:r>
      <w:r>
        <w:rPr>
          <w:rFonts w:eastAsia="Symbol" w:cs="Symbol" w:ascii="Symbol" w:hAnsi="Symbol"/>
        </w:rPr>
        <w:t></w:t>
      </w:r>
      <w:r>
        <w:rPr/>
        <w:t xml:space="preserve">/sqrt(31). Dibujar la DTFT del pulso rectangular, así como la DTFT del pulso modulado empleando la función </w:t>
      </w:r>
      <w:r>
        <w:rPr>
          <w:rFonts w:cs="Courier New" w:ascii="Courier New" w:hAnsi="Courier New"/>
        </w:rPr>
        <w:t>plot_dtft(h,N)</w:t>
      </w:r>
      <w:r>
        <w:rPr/>
        <w:t xml:space="preserve">desarrollada en el apartado anterior. Emplee un valor de N=128. Dibuje en el espacio siguiente ambas gráficas (representando magnitud y fase) y compruebe que el pico de la DTFT se ha movido a </w:t>
      </w:r>
      <w:r>
        <w:rPr>
          <w:rFonts w:eastAsia="Symbol" w:cs="Symbol" w:ascii="Symbol" w:hAnsi="Symbol"/>
        </w:rPr>
        <w:t></w:t>
      </w:r>
      <w:r>
        <w:rPr>
          <w:vertAlign w:val="subscript"/>
        </w:rPr>
        <w:t>0</w:t>
      </w:r>
      <w:r>
        <w:rPr/>
        <w:t xml:space="preserve">. En el script que genere como resultado, dado que no puede emplear la función </w:t>
      </w:r>
      <w:r>
        <w:rPr>
          <w:rFonts w:cs="Courier New" w:ascii="Courier New" w:hAnsi="Courier New"/>
          <w:sz w:val="20"/>
        </w:rPr>
        <w:t>subplot</w:t>
      </w:r>
      <w:r>
        <w:rPr/>
        <w:t xml:space="preserve"> combinada con la función </w:t>
      </w:r>
      <w:r>
        <w:rPr>
          <w:rFonts w:cs="Courier New" w:ascii="Courier New" w:hAnsi="Courier New"/>
          <w:sz w:val="20"/>
        </w:rPr>
        <w:t>plot_dtft</w:t>
      </w:r>
      <w:r>
        <w:rPr/>
        <w:t xml:space="preserve"> del ejercicio anterior, separe cada llamada a la función </w:t>
      </w:r>
      <w:r>
        <w:rPr>
          <w:rFonts w:cs="Courier New" w:ascii="Courier New" w:hAnsi="Courier New"/>
          <w:sz w:val="20"/>
        </w:rPr>
        <w:t>plot_dtft</w:t>
      </w:r>
      <w:r>
        <w:rPr/>
        <w:t xml:space="preserve"> con una sentencia </w:t>
      </w:r>
      <w:r>
        <w:rPr>
          <w:rFonts w:cs="Courier New" w:ascii="Courier New" w:hAnsi="Courier New"/>
          <w:sz w:val="20"/>
        </w:rPr>
        <w:t>pause</w:t>
      </w:r>
      <w:r>
        <w:rPr/>
        <w:t xml:space="preserve"> y emplee sentencias </w:t>
      </w:r>
      <w:r>
        <w:rPr>
          <w:rFonts w:cs="Courier New" w:ascii="Courier New" w:hAnsi="Courier New"/>
          <w:sz w:val="20"/>
        </w:rPr>
        <w:t>disp</w:t>
      </w:r>
      <w:r>
        <w:rPr/>
        <w:t xml:space="preserve"> para mostrar por consola lo que está dibujando en cada momento. Otra alternativa es emplear la función </w:t>
      </w:r>
      <w:r>
        <w:rPr>
          <w:rFonts w:cs="Courier New" w:ascii="Courier New" w:hAnsi="Courier New"/>
        </w:rPr>
        <w:t>figure</w:t>
      </w:r>
      <w:r>
        <w:rPr/>
        <w:t xml:space="preserve"> para representar cada gráfica en una ventana distinta.</w:t>
      </w:r>
    </w:p>
    <w:tbl>
      <w:tblPr>
        <w:tblW w:w="8280" w:type="dxa"/>
        <w:jc w:val="left"/>
        <w:tblInd w:w="430" w:type="dxa"/>
        <w:tblCellMar>
          <w:top w:w="0" w:type="dxa"/>
          <w:left w:w="70" w:type="dxa"/>
          <w:bottom w:w="0" w:type="dxa"/>
          <w:right w:w="70" w:type="dxa"/>
        </w:tblCellMar>
        <w:tblLook w:val="0000" w:noHBand="0" w:noVBand="0" w:firstColumn="0" w:lastRow="0" w:lastColumn="0" w:firstRow="0"/>
      </w:tblPr>
      <w:tblGrid>
        <w:gridCol w:w="8280"/>
      </w:tblGrid>
      <w:tr>
        <w:trPr>
          <w:trHeight w:val="10145" w:hRule="atLeast"/>
          <w:cantSplit w:val="true"/>
        </w:trPr>
        <w:tc>
          <w:tcPr>
            <w:tcW w:w="8280" w:type="dxa"/>
            <w:tcBorders>
              <w:top w:val="single" w:sz="4" w:space="0" w:color="000000"/>
              <w:left w:val="single" w:sz="4" w:space="0" w:color="000000"/>
              <w:bottom w:val="single" w:sz="4" w:space="0" w:color="000000"/>
              <w:right w:val="single" w:sz="4" w:space="0" w:color="000000"/>
            </w:tcBorders>
          </w:tcPr>
          <w:p>
            <w:pPr>
              <w:pStyle w:val="Cuerpodetextoconsangra"/>
              <w:spacing w:before="120" w:after="120"/>
              <w:ind w:left="340" w:hanging="0"/>
              <w:rPr/>
            </w:pPr>
            <w:r>
              <w:rPr/>
              <w:t>Gráficas:</w:t>
            </w:r>
          </w:p>
          <w:p>
            <w:pPr>
              <w:pStyle w:val="Cuerpodetextoconsangra"/>
              <w:rPr/>
            </w:pPr>
            <w:r>
              <w:rPr/>
              <w:drawing>
                <wp:anchor behindDoc="0" distT="0" distB="0" distL="0" distR="0" simplePos="0" locked="0" layoutInCell="1" allowOverlap="1" relativeHeight="16">
                  <wp:simplePos x="0" y="0"/>
                  <wp:positionH relativeFrom="column">
                    <wp:posOffset>440055</wp:posOffset>
                  </wp:positionH>
                  <wp:positionV relativeFrom="paragraph">
                    <wp:posOffset>-33655</wp:posOffset>
                  </wp:positionV>
                  <wp:extent cx="3817620" cy="294894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817620" cy="2948940"/>
                          </a:xfrm>
                          <a:prstGeom prst="rect">
                            <a:avLst/>
                          </a:prstGeom>
                        </pic:spPr>
                      </pic:pic>
                    </a:graphicData>
                  </a:graphic>
                </wp:anchor>
              </w:drawing>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drawing>
                <wp:anchor behindDoc="0" distT="0" distB="0" distL="0" distR="0" simplePos="0" locked="0" layoutInCell="1" allowOverlap="1" relativeHeight="15">
                  <wp:simplePos x="0" y="0"/>
                  <wp:positionH relativeFrom="column">
                    <wp:posOffset>631190</wp:posOffset>
                  </wp:positionH>
                  <wp:positionV relativeFrom="paragraph">
                    <wp:posOffset>38100</wp:posOffset>
                  </wp:positionV>
                  <wp:extent cx="3676650" cy="295529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3676650" cy="2955290"/>
                          </a:xfrm>
                          <a:prstGeom prst="rect">
                            <a:avLst/>
                          </a:prstGeom>
                        </pic:spPr>
                      </pic:pic>
                    </a:graphicData>
                  </a:graphic>
                </wp:anchor>
              </w:drawing>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spacing w:before="120" w:after="120"/>
              <w:ind w:left="0" w:hanging="0"/>
              <w:rPr/>
            </w:pPr>
            <w:r>
              <w:rPr/>
            </w:r>
          </w:p>
        </w:tc>
      </w:tr>
      <w:tr>
        <w:trPr>
          <w:trHeight w:val="4491" w:hRule="atLeast"/>
          <w:cantSplit w:val="true"/>
        </w:trPr>
        <w:tc>
          <w:tcPr>
            <w:tcW w:w="8280" w:type="dxa"/>
            <w:tcBorders>
              <w:top w:val="single" w:sz="4" w:space="0" w:color="000000"/>
              <w:left w:val="single" w:sz="4" w:space="0" w:color="000000"/>
              <w:bottom w:val="single" w:sz="4" w:space="0" w:color="000000"/>
              <w:right w:val="single" w:sz="4" w:space="0" w:color="000000"/>
            </w:tcBorders>
          </w:tcPr>
          <w:p>
            <w:pPr>
              <w:pStyle w:val="Cuerpodetextoconsangra"/>
              <w:spacing w:before="120" w:after="120"/>
              <w:ind w:left="340" w:hanging="0"/>
              <w:rPr/>
            </w:pPr>
            <w:r>
              <w:rPr/>
              <w:t>Comentarios:</w:t>
            </w:r>
          </w:p>
          <w:p>
            <w:pPr>
              <w:pStyle w:val="Cuerpodetextoconsangra"/>
              <w:rPr/>
            </w:pPr>
            <w:r>
              <w:rPr/>
            </w:r>
          </w:p>
          <w:p>
            <w:pPr>
              <w:pStyle w:val="Cuerpodetextoconsangra"/>
              <w:rPr/>
            </w:pPr>
            <w:r>
              <w:rPr/>
              <w:t>Vemos como se aplica el desplazamiento en frecuencia de la señal, ya que</w:t>
            </w:r>
          </w:p>
          <w:p>
            <w:pPr>
              <w:pStyle w:val="Cuerpodetextoconsangra"/>
              <w:rPr/>
            </w:pPr>
            <w:r>
              <w:rPr/>
            </w:r>
          </w:p>
          <w:p>
            <w:pPr>
              <w:pStyle w:val="Cuerpodetextoconsangra"/>
              <w:rPr/>
            </w:pPr>
            <w:r>
              <w:rPr/>
            </w:r>
            <m:oMath xmlns:m="http://schemas.openxmlformats.org/officeDocument/2006/math">
              <m:sSup>
                <m:e>
                  <m:r>
                    <w:rPr>
                      <w:rFonts w:ascii="Cambria Math" w:hAnsi="Cambria Math"/>
                    </w:rPr>
                    <m:t xml:space="preserve">e</m:t>
                  </m:r>
                </m:e>
                <m:sup>
                  <m:sSub>
                    <m:e>
                      <m:r>
                        <w:rPr>
                          <w:rFonts w:ascii="Cambria Math" w:hAnsi="Cambria Math"/>
                        </w:rPr>
                        <m:t xml:space="preserve">jω</m:t>
                      </m:r>
                    </m:e>
                    <m:sub>
                      <m:r>
                        <w:rPr>
                          <w:rFonts w:ascii="Cambria Math" w:hAnsi="Cambria Math"/>
                        </w:rPr>
                        <m:t xml:space="preserve">0</m:t>
                      </m:r>
                    </m:sub>
                  </m:sSub>
                  <m:r>
                    <w:rPr>
                      <w:rFonts w:ascii="Cambria Math" w:hAnsi="Cambria Math"/>
                    </w:rPr>
                    <m:t xml:space="preserve">n</m:t>
                  </m:r>
                </m:sup>
              </m:sSup>
              <m:r>
                <w:rPr>
                  <w:rFonts w:ascii="Cambria Math" w:hAnsi="Cambria Math"/>
                </w:rPr>
                <m:t xml:space="preserve">x</m:t>
              </m:r>
              <m:d>
                <m:dPr>
                  <m:begChr m:val="["/>
                  <m:endChr m:val="]"/>
                </m:dPr>
                <m:e>
                  <m:r>
                    <w:rPr>
                      <w:rFonts w:ascii="Cambria Math" w:hAnsi="Cambria Math"/>
                    </w:rPr>
                    <m:t xml:space="preserve">n</m:t>
                  </m:r>
                </m:e>
              </m:d>
            </m:oMath>
            <w:r>
              <w:rPr/>
              <w:t xml:space="preserve">= </w:t>
            </w: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e</m:t>
                  </m:r>
                </m:e>
                <m:sup>
                  <m:r>
                    <w:rPr>
                      <w:rFonts w:ascii="Cambria Math" w:hAnsi="Cambria Math"/>
                    </w:rPr>
                    <m:t xml:space="preserve">j</m:t>
                  </m:r>
                  <m:r>
                    <w:rPr>
                      <w:rFonts w:ascii="Cambria Math" w:hAnsi="Cambria Math"/>
                    </w:rPr>
                    <m:t xml:space="preserve">(</m:t>
                  </m:r>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w:rPr>
                      <w:rFonts w:ascii="Cambria Math" w:hAnsi="Cambria Math"/>
                    </w:rPr>
                    <m:t xml:space="preserve">)</m:t>
                  </m:r>
                </m:sup>
              </m:sSup>
              <m:r>
                <w:rPr>
                  <w:rFonts w:ascii="Cambria Math" w:hAnsi="Cambria Math"/>
                </w:rPr>
                <m:t xml:space="preserve">)</m:t>
              </m:r>
            </m:oMath>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spacing w:before="120" w:after="120"/>
              <w:ind w:left="340" w:hanging="0"/>
              <w:rPr/>
            </w:pPr>
            <w:r>
              <w:rPr/>
            </w:r>
          </w:p>
        </w:tc>
      </w:tr>
    </w:tbl>
    <w:p>
      <w:pPr>
        <w:pStyle w:val="Cuerpodetextoconsangra"/>
        <w:tabs>
          <w:tab w:val="clear" w:pos="708"/>
          <w:tab w:val="left" w:pos="1080" w:leader="none"/>
        </w:tabs>
        <w:rPr/>
      </w:pPr>
      <w:r>
        <w:rPr/>
      </w:r>
    </w:p>
    <w:p>
      <w:pPr>
        <w:pStyle w:val="Cuerpodetextoconsangra"/>
        <w:numPr>
          <w:ilvl w:val="0"/>
          <w:numId w:val="3"/>
        </w:numPr>
        <w:tabs>
          <w:tab w:val="clear" w:pos="708"/>
          <w:tab w:val="left" w:pos="1080" w:leader="none"/>
        </w:tabs>
        <w:rPr/>
      </w:pPr>
      <w:r>
        <w:rPr/>
        <w:t xml:space="preserve">Utilizando un valor </w:t>
      </w:r>
      <w:r>
        <w:rPr>
          <w:rFonts w:eastAsia="Symbol" w:cs="Symbol" w:ascii="Symbol" w:hAnsi="Symbol"/>
        </w:rPr>
        <w:t></w:t>
      </w:r>
      <w:r>
        <w:rPr>
          <w:vertAlign w:val="subscript"/>
        </w:rPr>
        <w:t xml:space="preserve">0 </w:t>
      </w:r>
      <w:r>
        <w:rPr/>
        <w:t>=5</w:t>
      </w:r>
      <w:r>
        <w:rPr>
          <w:rFonts w:eastAsia="Symbol" w:cs="Symbol" w:ascii="Symbol" w:hAnsi="Symbol"/>
        </w:rPr>
        <w:t></w:t>
      </w:r>
      <w:r>
        <w:rPr/>
        <w:t>/2 repetir el apartado anterior y explicar lo que sucede.</w:t>
      </w:r>
    </w:p>
    <w:tbl>
      <w:tblPr>
        <w:tblW w:w="8280" w:type="dxa"/>
        <w:jc w:val="left"/>
        <w:tblInd w:w="430" w:type="dxa"/>
        <w:tblCellMar>
          <w:top w:w="0" w:type="dxa"/>
          <w:left w:w="70" w:type="dxa"/>
          <w:bottom w:w="0" w:type="dxa"/>
          <w:right w:w="70" w:type="dxa"/>
        </w:tblCellMar>
        <w:tblLook w:val="0000" w:noHBand="0" w:noVBand="0" w:firstColumn="0" w:lastRow="0" w:lastColumn="0" w:firstRow="0"/>
      </w:tblPr>
      <w:tblGrid>
        <w:gridCol w:w="8280"/>
      </w:tblGrid>
      <w:tr>
        <w:trPr>
          <w:trHeight w:val="5329" w:hRule="atLeast"/>
          <w:cantSplit w:val="true"/>
        </w:trPr>
        <w:tc>
          <w:tcPr>
            <w:tcW w:w="8280" w:type="dxa"/>
            <w:tcBorders>
              <w:top w:val="single" w:sz="4" w:space="0" w:color="000000"/>
              <w:left w:val="single" w:sz="4" w:space="0" w:color="000000"/>
              <w:bottom w:val="single" w:sz="4" w:space="0" w:color="000000"/>
              <w:right w:val="single" w:sz="4" w:space="0" w:color="000000"/>
            </w:tcBorders>
          </w:tcPr>
          <w:p>
            <w:pPr>
              <w:pStyle w:val="Cuerpodetextoconsangra"/>
              <w:spacing w:before="120" w:after="120"/>
              <w:ind w:left="340" w:hanging="0"/>
              <w:rPr/>
            </w:pPr>
            <w:r>
              <w:rPr/>
              <w:t>Gráficas:</w:t>
            </w:r>
          </w:p>
          <w:p>
            <w:pPr>
              <w:pStyle w:val="Cuerpodetextoconsangra"/>
              <w:rPr/>
            </w:pPr>
            <w:r>
              <w:rPr/>
            </w:r>
          </w:p>
          <w:p>
            <w:pPr>
              <w:pStyle w:val="Cuerpodetextoconsangra"/>
              <w:rPr/>
            </w:pPr>
            <w:r>
              <w:rPr/>
            </w:r>
          </w:p>
          <w:p>
            <w:pPr>
              <w:pStyle w:val="Cuerpodetextoconsangra"/>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953000" cy="389509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4953000" cy="3895090"/>
                          </a:xfrm>
                          <a:prstGeom prst="rect">
                            <a:avLst/>
                          </a:prstGeom>
                        </pic:spPr>
                      </pic:pic>
                    </a:graphicData>
                  </a:graphic>
                </wp:anchor>
              </w:drawing>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spacing w:before="120" w:after="120"/>
              <w:ind w:left="340" w:hanging="0"/>
              <w:rPr/>
            </w:pPr>
            <w:r>
              <w:rPr/>
            </w:r>
          </w:p>
        </w:tc>
      </w:tr>
      <w:tr>
        <w:trPr>
          <w:trHeight w:val="1953" w:hRule="atLeast"/>
          <w:cantSplit w:val="true"/>
        </w:trPr>
        <w:tc>
          <w:tcPr>
            <w:tcW w:w="8280" w:type="dxa"/>
            <w:tcBorders>
              <w:top w:val="single" w:sz="4" w:space="0" w:color="000000"/>
              <w:left w:val="single" w:sz="4" w:space="0" w:color="000000"/>
              <w:bottom w:val="single" w:sz="4" w:space="0" w:color="000000"/>
              <w:right w:val="single" w:sz="4" w:space="0" w:color="000000"/>
            </w:tcBorders>
          </w:tcPr>
          <w:p>
            <w:pPr>
              <w:pStyle w:val="Cuerpodetextoconsangra"/>
              <w:spacing w:before="120" w:after="120"/>
              <w:ind w:left="340" w:hanging="0"/>
              <w:rPr/>
            </w:pPr>
            <w:r>
              <w:rPr/>
              <w:t>Comentarios:</w:t>
            </w:r>
          </w:p>
          <w:p>
            <w:pPr>
              <w:pStyle w:val="Cuerpodetextoconsangra"/>
              <w:rPr/>
            </w:pPr>
            <w:r>
              <w:rPr/>
            </w:r>
          </w:p>
          <w:p>
            <w:pPr>
              <w:pStyle w:val="Cuerpodetextoconsangra"/>
              <w:rPr/>
            </w:pPr>
            <w:r>
              <w:rPr/>
              <w:t>En este caso el desplazamiento es mayor (5/2)*pi=2*pi+pi/2, y como la señal es periódica, el valor en (5/2)*pi será el mismo que en pi/2. De hecho, el desplazamiento es (pi/2)/pi = 0.5</w:t>
            </w:r>
          </w:p>
          <w:p>
            <w:pPr>
              <w:pStyle w:val="Cuerpodetextoconsangra"/>
              <w:rPr>
                <w:u w:val="single"/>
              </w:rPr>
            </w:pPr>
            <w:r>
              <w:rPr>
                <w:u w:val="single"/>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spacing w:before="120" w:after="120"/>
              <w:ind w:left="340" w:hanging="0"/>
              <w:rPr/>
            </w:pPr>
            <w:r>
              <w:rPr/>
            </w:r>
          </w:p>
        </w:tc>
      </w:tr>
    </w:tbl>
    <w:p>
      <w:pPr>
        <w:pStyle w:val="Cuerpodetextoconsangra"/>
        <w:rPr/>
      </w:pPr>
      <w:r>
        <w:rPr/>
      </w:r>
    </w:p>
    <w:p>
      <w:pPr>
        <w:pStyle w:val="Cuerpodetextoconsangra"/>
        <w:numPr>
          <w:ilvl w:val="0"/>
          <w:numId w:val="3"/>
        </w:numPr>
        <w:tabs>
          <w:tab w:val="clear" w:pos="708"/>
          <w:tab w:val="left" w:pos="1080" w:leader="none"/>
        </w:tabs>
        <w:rPr/>
      </w:pPr>
      <w:r>
        <w:rPr/>
        <w:t xml:space="preserve">Repetir el experimento anterior multiplicando el pulso por una función coseno a la misma frecuencia que en el apartado a). Este tipo de modulación se denomina modulación AM en doble banda. Dibuje de nuevo las gráficas y explique si le parece razonable este nombre y por qué. </w:t>
      </w:r>
    </w:p>
    <w:tbl>
      <w:tblPr>
        <w:tblW w:w="8280" w:type="dxa"/>
        <w:jc w:val="left"/>
        <w:tblInd w:w="430" w:type="dxa"/>
        <w:tblCellMar>
          <w:top w:w="0" w:type="dxa"/>
          <w:left w:w="70" w:type="dxa"/>
          <w:bottom w:w="0" w:type="dxa"/>
          <w:right w:w="70" w:type="dxa"/>
        </w:tblCellMar>
        <w:tblLook w:val="0000" w:noHBand="0" w:noVBand="0" w:firstColumn="0" w:lastRow="0" w:lastColumn="0" w:firstRow="0"/>
      </w:tblPr>
      <w:tblGrid>
        <w:gridCol w:w="8280"/>
      </w:tblGrid>
      <w:tr>
        <w:trPr>
          <w:trHeight w:val="5329" w:hRule="atLeast"/>
          <w:cantSplit w:val="true"/>
        </w:trPr>
        <w:tc>
          <w:tcPr>
            <w:tcW w:w="8280" w:type="dxa"/>
            <w:tcBorders>
              <w:top w:val="single" w:sz="4" w:space="0" w:color="000000"/>
              <w:left w:val="single" w:sz="4" w:space="0" w:color="000000"/>
              <w:bottom w:val="single" w:sz="4" w:space="0" w:color="000000"/>
              <w:right w:val="single" w:sz="4" w:space="0" w:color="000000"/>
            </w:tcBorders>
          </w:tcPr>
          <w:p>
            <w:pPr>
              <w:pStyle w:val="Cuerpodetextoconsangra"/>
              <w:spacing w:before="120" w:after="120"/>
              <w:ind w:left="340" w:hanging="0"/>
              <w:rPr/>
            </w:pPr>
            <w:r>
              <w:rPr/>
              <w:t>Gráficas:</w:t>
            </w:r>
          </w:p>
          <w:p>
            <w:pPr>
              <w:pStyle w:val="Cuerpodetextoconsangra"/>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953000" cy="3942080"/>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4953000" cy="3942080"/>
                          </a:xfrm>
                          <a:prstGeom prst="rect">
                            <a:avLst/>
                          </a:prstGeom>
                        </pic:spPr>
                      </pic:pic>
                    </a:graphicData>
                  </a:graphic>
                </wp:anchor>
              </w:drawing>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spacing w:before="120" w:after="120"/>
              <w:ind w:left="340" w:hanging="0"/>
              <w:rPr/>
            </w:pPr>
            <w:r>
              <w:rPr/>
            </w:r>
          </w:p>
        </w:tc>
      </w:tr>
      <w:tr>
        <w:trPr>
          <w:trHeight w:val="1953" w:hRule="atLeast"/>
          <w:cantSplit w:val="true"/>
        </w:trPr>
        <w:tc>
          <w:tcPr>
            <w:tcW w:w="8280" w:type="dxa"/>
            <w:tcBorders>
              <w:top w:val="single" w:sz="4" w:space="0" w:color="000000"/>
              <w:left w:val="single" w:sz="4" w:space="0" w:color="000000"/>
              <w:bottom w:val="single" w:sz="4" w:space="0" w:color="000000"/>
              <w:right w:val="single" w:sz="4" w:space="0" w:color="000000"/>
            </w:tcBorders>
          </w:tcPr>
          <w:p>
            <w:pPr>
              <w:pStyle w:val="Cuerpodetextoconsangra"/>
              <w:spacing w:before="120" w:after="120"/>
              <w:ind w:left="340" w:hanging="0"/>
              <w:rPr/>
            </w:pPr>
            <w:r>
              <w:rPr/>
              <w:t>Comentarios:</w:t>
            </w:r>
          </w:p>
          <w:p>
            <w:pPr>
              <w:pStyle w:val="Cuerpodetextoconsangra"/>
              <w:rPr/>
            </w:pPr>
            <w:r>
              <w:rPr/>
            </w:r>
          </w:p>
          <w:p>
            <w:pPr>
              <w:pStyle w:val="Normal"/>
              <w:spacing w:before="120" w:after="0"/>
              <w:rPr>
                <w:color w:val="028009"/>
              </w:rPr>
            </w:pPr>
            <w:r>
              <w:rPr>
                <w:color w:val="028009"/>
              </w:rPr>
              <w:t>Es doble banda porque se suman dos señales debido a la descomposición</w:t>
            </w:r>
          </w:p>
          <w:p>
            <w:pPr>
              <w:pStyle w:val="Normal"/>
              <w:spacing w:before="120" w:after="0"/>
              <w:rPr>
                <w:color w:val="028009"/>
              </w:rPr>
            </w:pPr>
            <w:r>
              <w:rPr>
                <w:color w:val="028009"/>
              </w:rPr>
              <w:t>del coseno en dos exponenciales</w:t>
            </w:r>
          </w:p>
          <w:p>
            <w:pPr>
              <w:pStyle w:val="Normal"/>
              <w:spacing w:before="120" w:after="0"/>
              <w:rPr>
                <w:color w:val="028009"/>
              </w:rPr>
            </w:pPr>
            <w:r>
              <w:rPr>
                <w:color w:val="028009"/>
              </w:rPr>
            </w:r>
          </w:p>
          <w:p>
            <w:pPr>
              <w:pStyle w:val="Normal"/>
              <w:spacing w:before="120" w:after="0"/>
              <w:rPr>
                <w:color w:val="028009"/>
              </w:rPr>
            </w:pPr>
            <w:r>
              <w:rPr>
                <w:color w:val="028009"/>
              </w:rPr>
              <w:t>cos(x) = (1/2)*(e^{ix} +e^{-ix})</w:t>
            </w:r>
          </w:p>
          <w:p>
            <w:pPr>
              <w:pStyle w:val="Normal"/>
              <w:spacing w:before="120" w:after="0"/>
              <w:rPr>
                <w:color w:val="028009"/>
              </w:rPr>
            </w:pPr>
            <w:r>
              <w:rPr>
                <w:color w:val="028009"/>
              </w:rPr>
            </w:r>
          </w:p>
          <w:p>
            <w:pPr>
              <w:pStyle w:val="Normal"/>
              <w:spacing w:before="120" w:after="0"/>
              <w:rPr>
                <w:color w:val="028009"/>
              </w:rPr>
            </w:pPr>
            <w:r>
              <w:rPr>
                <w:color w:val="028009"/>
              </w:rPr>
              <w:t xml:space="preserve">Por tanto, se suman dos señales exponencial </w:t>
            </w:r>
            <w:r>
              <w:rPr>
                <w:color w:val="028009"/>
              </w:rPr>
              <w:t>con desplazamientos en el dominio de la frecuencia +-w0.</w:t>
            </w:r>
          </w:p>
          <w:p>
            <w:pPr>
              <w:pStyle w:val="Normal"/>
              <w:spacing w:before="120" w:after="0"/>
              <w:rPr>
                <w:color w:val="028009"/>
              </w:rPr>
            </w:pPr>
            <w:r>
              <w:rPr>
                <w:color w:val="028009"/>
              </w:rPr>
            </w:r>
          </w:p>
          <w:p>
            <w:pPr>
              <w:pStyle w:val="Normal"/>
              <w:spacing w:before="120" w:after="0"/>
              <w:rPr>
                <w:color w:val="028009"/>
              </w:rPr>
            </w:pPr>
            <w:r>
              <w:rPr>
                <w:color w:val="028009"/>
              </w:rPr>
              <w:t>Además, la máxima magnitud de la respuesta se divide entre dos.</w:t>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spacing w:before="120" w:after="120"/>
              <w:ind w:left="340" w:hanging="0"/>
              <w:rPr/>
            </w:pPr>
            <w:r>
              <w:rPr/>
            </w:r>
          </w:p>
        </w:tc>
      </w:tr>
    </w:tbl>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Subttulo"/>
        <w:numPr>
          <w:ilvl w:val="0"/>
          <w:numId w:val="1"/>
        </w:numPr>
        <w:ind w:left="0" w:hanging="0"/>
        <w:rPr>
          <w:sz w:val="22"/>
        </w:rPr>
      </w:pPr>
      <w:r>
        <w:rPr>
          <w:sz w:val="22"/>
        </w:rPr>
        <w:t xml:space="preserve">Propiedad de Enventanado </w:t>
      </w:r>
      <w:r>
        <w:rPr>
          <w:sz w:val="24"/>
        </w:rPr>
        <w:t xml:space="preserve">(Resultado: </w:t>
      </w:r>
      <w:r>
        <w:rPr>
          <w:rFonts w:cs="Courier New" w:ascii="Courier New" w:hAnsi="Courier New"/>
          <w:b w:val="false"/>
          <w:bCs w:val="false"/>
          <w:sz w:val="20"/>
        </w:rPr>
        <w:t>ejercicio_5.m</w:t>
      </w:r>
      <w:r>
        <w:rPr>
          <w:sz w:val="24"/>
        </w:rPr>
        <w:t>)</w:t>
      </w:r>
    </w:p>
    <w:p>
      <w:pPr>
        <w:pStyle w:val="Cuerpodetextoconsangra"/>
        <w:rPr/>
      </w:pPr>
      <w:r>
        <w:rPr/>
        <w:t xml:space="preserve">La propiedad de enventanado de la DTFT establece que la multiplicación de dos señales en el tiempo (.* en MATLAB) es equivalente a la convolución periódica en el dominio de la frecuencia de las DTFTs de las señales. </w:t>
      </w:r>
    </w:p>
    <w:p>
      <w:pPr>
        <w:pStyle w:val="Cuerpodetextoconsangra"/>
        <w:jc w:val="center"/>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X</m:t>
            </m:r>
            <m:r>
              <w:rPr>
                <w:rFonts w:ascii="Cambria Math" w:hAnsi="Cambria Math"/>
              </w:rPr>
              <m:t xml:space="preserve">(</m:t>
            </m:r>
            <m:sSup>
              <m:e>
                <m:r>
                  <w:rPr>
                    <w:rFonts w:ascii="Cambria Math" w:hAnsi="Cambria Math"/>
                  </w:rPr>
                  <m:t xml:space="preserve">e</m:t>
                </m:r>
              </m:e>
              <m:sup>
                <m:r>
                  <w:rPr>
                    <w:rFonts w:ascii="Cambria Math" w:hAnsi="Cambria Math"/>
                  </w:rPr>
                  <m:t xml:space="preserve">jθ</m:t>
                </m:r>
              </m:sup>
            </m:sSup>
            <m:r>
              <w:rPr>
                <w:rFonts w:ascii="Cambria Math" w:hAnsi="Cambria Math"/>
              </w:rPr>
              <m:t xml:space="preserve">)</m:t>
            </m:r>
            <m:r>
              <w:rPr>
                <w:rFonts w:ascii="Cambria Math" w:hAnsi="Cambria Math"/>
              </w:rPr>
              <m:t xml:space="preserve">W</m:t>
            </m:r>
            <m:r>
              <w:rPr>
                <w:rFonts w:ascii="Cambria Math" w:hAnsi="Cambria Math"/>
              </w:rPr>
              <m:t xml:space="preserve">(</m:t>
            </m:r>
            <m:sSup>
              <m:e>
                <m:r>
                  <w:rPr>
                    <w:rFonts w:ascii="Cambria Math" w:hAnsi="Cambria Math"/>
                  </w:rPr>
                  <m:t xml:space="preserve">e</m:t>
                </m:r>
              </m:e>
              <m:sup>
                <m:r>
                  <w:rPr>
                    <w:rFonts w:ascii="Cambria Math" w:hAnsi="Cambria Math"/>
                  </w:rPr>
                  <m:t xml:space="preserve">j</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θ</m:t>
                </m:r>
                <m:r>
                  <w:rPr>
                    <w:rFonts w:ascii="Cambria Math" w:hAnsi="Cambria Math"/>
                  </w:rPr>
                  <m:t xml:space="preserve">)</m:t>
                </m:r>
              </m:sup>
            </m:sSup>
            <m:r>
              <w:rPr>
                <w:rFonts w:ascii="Cambria Math" w:hAnsi="Cambria Math"/>
              </w:rPr>
              <m:t xml:space="preserve">)</m:t>
            </m:r>
            <m:r>
              <w:rPr>
                <w:rFonts w:ascii="Cambria Math" w:hAnsi="Cambria Math"/>
              </w:rPr>
              <m:t xml:space="preserve">d</m:t>
            </m:r>
          </m:e>
        </m:nary>
        <m:r>
          <w:rPr>
            <w:rFonts w:ascii="Cambria Math" w:hAnsi="Cambria Math"/>
          </w:rPr>
          <m:t xml:space="preserve">θ</m:t>
        </m:r>
      </m:oMath>
    </w:p>
    <w:p>
      <w:pPr>
        <w:pStyle w:val="Cuerpodetextoconsangra"/>
        <w:rPr/>
      </w:pPr>
      <w:r>
        <w:rPr/>
        <w:t xml:space="preserve">Al multiplicar una señal por una ventana, en el dominio de la frecuencia la convolución emborronará la DTFT de la señal, dependiendo de la forma de la DTFT de la ventana, </w:t>
      </w:r>
      <w:r>
        <w:rPr/>
      </w:r>
      <m:oMath xmlns:m="http://schemas.openxmlformats.org/officeDocument/2006/math">
        <m:r>
          <w:rPr>
            <w:rFonts w:ascii="Cambria Math" w:hAnsi="Cambria Math"/>
          </w:rPr>
          <m:t xml:space="preserve">W</m:t>
        </m:r>
        <m:r>
          <w:rPr>
            <w:rFonts w:ascii="Cambria Math" w:hAnsi="Cambria Math"/>
          </w:rPr>
          <m:t xml:space="preserve">(</m:t>
        </m:r>
        <m:sSup>
          <m:e>
            <m:r>
              <w:rPr>
                <w:rFonts w:ascii="Cambria Math" w:hAnsi="Cambria Math"/>
              </w:rPr>
              <m:t xml:space="preserve">e</m:t>
            </m:r>
          </m:e>
          <m:sup>
            <m:r>
              <w:rPr>
                <w:rFonts w:ascii="Cambria Math" w:hAnsi="Cambria Math"/>
              </w:rPr>
              <m:t xml:space="preserve">jω</m:t>
            </m:r>
          </m:sup>
        </m:sSup>
        <m:r>
          <w:rPr>
            <w:rFonts w:ascii="Cambria Math" w:hAnsi="Cambria Math"/>
          </w:rPr>
          <m:t xml:space="preserve">)</m:t>
        </m:r>
      </m:oMath>
      <w:r>
        <w:rPr/>
        <w:t xml:space="preserve">, Incluso cuando parece no haberse multiplicado por ninguna ventana, el hecho de poder calcular la DTFT sólo de señales finitas con MATLAB es equivalente a multiplicar la señal por una ventana rectangular de duración igual a la duración que se haya considerado para la señal. En el caso de la ventana rectangular, la DTFT es una función </w:t>
      </w:r>
      <w:r>
        <w:rPr>
          <w:i/>
          <w:iCs/>
        </w:rPr>
        <w:t>sinc</w:t>
      </w:r>
      <w:r>
        <w:rPr/>
        <w:t xml:space="preserve"> con solapamiento. </w:t>
      </w:r>
    </w:p>
    <w:p>
      <w:pPr>
        <w:pStyle w:val="Cuerpodetextoconsangra"/>
        <w:numPr>
          <w:ilvl w:val="0"/>
          <w:numId w:val="4"/>
        </w:numPr>
        <w:tabs>
          <w:tab w:val="clear" w:pos="708"/>
          <w:tab w:val="left" w:pos="1080" w:leader="none"/>
        </w:tabs>
        <w:rPr/>
      </w:pPr>
      <w:r>
        <w:rPr/>
        <w:t>Un caso sencillo de analizar ocurre cuando la señal sin enventanar es una exponencial compleja, x[n]=</w:t>
      </w:r>
      <w:r>
        <w:rPr/>
      </w:r>
      <m:oMath xmlns:m="http://schemas.openxmlformats.org/officeDocument/2006/math">
        <m:sSup>
          <m:e>
            <m:r>
              <w:rPr>
                <w:rFonts w:ascii="Cambria Math" w:hAnsi="Cambria Math"/>
              </w:rPr>
              <m:t xml:space="preserve">e</m:t>
            </m:r>
          </m:e>
          <m:sup>
            <m:sSub>
              <m:e>
                <m:r>
                  <w:rPr>
                    <w:rFonts w:ascii="Cambria Math" w:hAnsi="Cambria Math"/>
                  </w:rPr>
                  <m:t xml:space="preserve">jω</m:t>
                </m:r>
              </m:e>
              <m:sub>
                <m:r>
                  <w:rPr>
                    <w:rFonts w:ascii="Cambria Math" w:hAnsi="Cambria Math"/>
                  </w:rPr>
                  <m:t xml:space="preserve">0</m:t>
                </m:r>
              </m:sub>
            </m:sSub>
            <m:r>
              <w:rPr>
                <w:rFonts w:ascii="Cambria Math" w:hAnsi="Cambria Math"/>
              </w:rPr>
              <m:t xml:space="preserve">n</m:t>
            </m:r>
          </m:sup>
        </m:sSup>
      </m:oMath>
      <w:r>
        <w:rPr/>
        <w:t xml:space="preserve">. En este caso </w:t>
      </w: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e</m:t>
            </m:r>
          </m:e>
          <m:sup>
            <m:r>
              <w:rPr>
                <w:rFonts w:ascii="Cambria Math" w:hAnsi="Cambria Math"/>
              </w:rPr>
              <m:t xml:space="preserve">jω</m:t>
            </m:r>
          </m:sup>
        </m:sSup>
        <m:r>
          <w:rPr>
            <w:rFonts w:ascii="Cambria Math" w:hAnsi="Cambria Math"/>
          </w:rPr>
          <m:t xml:space="preserve">)</m:t>
        </m:r>
      </m:oMath>
      <w:r>
        <w:rPr/>
        <w:t xml:space="preserve"> es un impulso en la posición </w:t>
      </w:r>
      <w:r>
        <w:rPr>
          <w:rFonts w:eastAsia="Symbol" w:cs="Symbol" w:ascii="Symbol" w:hAnsi="Symbol"/>
        </w:rPr>
        <w:t></w:t>
      </w:r>
      <w:r>
        <w:rPr>
          <w:vertAlign w:val="subscript"/>
        </w:rPr>
        <w:t>0</w:t>
      </w:r>
      <w:r>
        <w:rPr/>
        <w:t xml:space="preserve"> en frecuencia, y por tanto la convolución periódica se reduce a desplazar la DTFT de la ventana a la posición </w:t>
      </w:r>
      <w:r>
        <w:rPr>
          <w:rFonts w:eastAsia="Symbol" w:cs="Symbol" w:ascii="Symbol" w:hAnsi="Symbol"/>
        </w:rPr>
        <w:t></w:t>
      </w:r>
      <w:r>
        <w:rPr>
          <w:vertAlign w:val="subscript"/>
        </w:rPr>
        <w:t>0</w:t>
      </w:r>
      <w:r>
        <w:rPr/>
        <w:t>.  Observe que esto es exactamente igual que la propiedad de modulación. Aquí, sin embargo le damos otra interpretación. Utilizando MATLAB u otros métodos numéricos no podemos calcular la DTFT exacta de una señal x[n] de duración infinita, así que tenemos que limitar la señal en el tiempo (multiplicándola por una ventana de duración finita), y calcular la DTFT de la señal multiplicada por la ventana (que también será de duración finita). La DTFT de la señal multiplicada por la ventana no será exactamente igual a la DTFT de la señal que nos interesa, pero se aproximará si elegimos adecuadamente el tamaño y la forma de la ventana. A modo de ejemplo, generar una sinusoidal compleja x[n] =</w:t>
      </w:r>
      <w:r>
        <w:rPr/>
      </w:r>
      <m:oMath xmlns:m="http://schemas.openxmlformats.org/officeDocument/2006/math">
        <m:sSup>
          <m:e>
            <m:r>
              <w:rPr>
                <w:rFonts w:ascii="Cambria Math" w:hAnsi="Cambria Math"/>
              </w:rPr>
              <m:t xml:space="preserve">e</m:t>
            </m:r>
          </m:e>
          <m:sup>
            <m:sSub>
              <m:e>
                <m:r>
                  <w:rPr>
                    <w:rFonts w:ascii="Cambria Math" w:hAnsi="Cambria Math"/>
                  </w:rPr>
                  <m:t xml:space="preserve">jω</m:t>
                </m:r>
              </m:e>
              <m:sub>
                <m:r>
                  <w:rPr>
                    <w:rFonts w:ascii="Cambria Math" w:hAnsi="Cambria Math"/>
                  </w:rPr>
                  <m:t xml:space="preserve">0</m:t>
                </m:r>
              </m:sub>
            </m:sSub>
            <m:r>
              <w:rPr>
                <w:rFonts w:ascii="Cambria Math" w:hAnsi="Cambria Math"/>
              </w:rPr>
              <m:t xml:space="preserve">n</m:t>
            </m:r>
          </m:sup>
        </m:sSup>
      </m:oMath>
      <w:r>
        <w:rPr/>
        <w:t xml:space="preserve"> con  </w:t>
      </w:r>
      <w:r>
        <w:rPr>
          <w:rFonts w:eastAsia="Symbol" w:cs="Symbol" w:ascii="Symbol" w:hAnsi="Symbol"/>
        </w:rPr>
        <w:t></w:t>
      </w:r>
      <w:r>
        <w:rPr>
          <w:vertAlign w:val="subscript"/>
        </w:rPr>
        <w:t>0</w:t>
      </w:r>
      <w:r>
        <w:rPr/>
        <w:t>=2</w:t>
      </w:r>
      <w:r>
        <w:rPr>
          <w:rFonts w:eastAsia="Symbol" w:cs="Symbol" w:ascii="Symbol" w:hAnsi="Symbol"/>
        </w:rPr>
        <w:t></w:t>
      </w:r>
      <w:r>
        <w:rPr/>
        <w:t xml:space="preserve">/sqrt(31). Multiplicarla por una ventana rectangular de longitud L=32 y dibujar la DTFT (sólo módulo) de la señal obtenida. Elija un valor de N=1024 en el cálculo de la DTFT. Comente el resultado desde el punto de vista del enventanado. </w:t>
      </w:r>
    </w:p>
    <w:tbl>
      <w:tblPr>
        <w:tblW w:w="8280" w:type="dxa"/>
        <w:jc w:val="left"/>
        <w:tblInd w:w="430" w:type="dxa"/>
        <w:tblCellMar>
          <w:top w:w="0" w:type="dxa"/>
          <w:left w:w="70" w:type="dxa"/>
          <w:bottom w:w="0" w:type="dxa"/>
          <w:right w:w="70" w:type="dxa"/>
        </w:tblCellMar>
        <w:tblLook w:val="0000" w:noHBand="0" w:noVBand="0" w:firstColumn="0" w:lastRow="0" w:lastColumn="0" w:firstRow="0"/>
      </w:tblPr>
      <w:tblGrid>
        <w:gridCol w:w="8280"/>
      </w:tblGrid>
      <w:tr>
        <w:trPr>
          <w:trHeight w:val="5247" w:hRule="atLeast"/>
          <w:cantSplit w:val="true"/>
        </w:trPr>
        <w:tc>
          <w:tcPr>
            <w:tcW w:w="8280" w:type="dxa"/>
            <w:tcBorders>
              <w:top w:val="single" w:sz="4" w:space="0" w:color="000000"/>
              <w:left w:val="single" w:sz="4" w:space="0" w:color="000000"/>
              <w:bottom w:val="single" w:sz="4" w:space="0" w:color="000000"/>
              <w:right w:val="single" w:sz="4" w:space="0" w:color="000000"/>
            </w:tcBorders>
          </w:tcPr>
          <w:p>
            <w:pPr>
              <w:pStyle w:val="Cuerpodetextoconsangra"/>
              <w:spacing w:before="120" w:after="120"/>
              <w:ind w:left="340" w:hanging="0"/>
              <w:rPr/>
            </w:pPr>
            <w:r>
              <w:rPr/>
              <w:t>Gráficas:</w:t>
            </w:r>
          </w:p>
          <w:p>
            <w:pPr>
              <w:pStyle w:val="Normal"/>
              <w:spacing w:before="120" w:after="0"/>
              <w:rPr/>
            </w:pPr>
            <w:r>
              <w:rPr/>
              <w:t xml:space="preserve">N = </w:t>
            </w:r>
            <w:r>
              <w:rPr>
                <w:sz w:val="22"/>
                <w:szCs w:val="24"/>
                <w:lang w:val="es-ES" w:eastAsia="es-ES"/>
              </w:rPr>
              <w:t>1024</w:t>
            </w:r>
            <w:r>
              <w:rPr/>
              <w:t>; L = 32;</w:t>
            </w:r>
          </w:p>
          <w:p>
            <w:pPr>
              <w:pStyle w:val="Normal"/>
              <w:spacing w:before="120" w:after="0"/>
              <w:rPr/>
            </w:pP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953000" cy="3912235"/>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4953000" cy="3912235"/>
                          </a:xfrm>
                          <a:prstGeom prst="rect">
                            <a:avLst/>
                          </a:prstGeom>
                        </pic:spPr>
                      </pic:pic>
                    </a:graphicData>
                  </a:graphic>
                </wp:anchor>
              </w:drawing>
            </w:r>
            <w:r>
              <w:rPr/>
              <w:t>N</w:t>
            </w:r>
            <w:r>
              <w:rPr/>
              <w:t xml:space="preserve"> = </w:t>
            </w:r>
            <w:r>
              <w:rPr>
                <w:sz w:val="22"/>
                <w:szCs w:val="24"/>
                <w:lang w:val="es-ES" w:eastAsia="es-ES"/>
              </w:rPr>
              <w:t>1024</w:t>
            </w:r>
            <w:r>
              <w:rPr/>
              <w:t xml:space="preserve">; L = </w:t>
            </w:r>
            <w:r>
              <w:rPr>
                <w:sz w:val="22"/>
                <w:szCs w:val="24"/>
                <w:lang w:val="es-ES" w:eastAsia="es-ES"/>
              </w:rPr>
              <w:t>1024</w:t>
            </w:r>
            <w:r>
              <w:rPr/>
              <w:t>;</w:t>
            </w:r>
          </w:p>
          <w:p>
            <w:pPr>
              <w:pStyle w:val="Cuerpodetextoconsangra"/>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953000" cy="3915410"/>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8"/>
                          <a:stretch>
                            <a:fillRect/>
                          </a:stretch>
                        </pic:blipFill>
                        <pic:spPr bwMode="auto">
                          <a:xfrm>
                            <a:off x="0" y="0"/>
                            <a:ext cx="4953000" cy="3915410"/>
                          </a:xfrm>
                          <a:prstGeom prst="rect">
                            <a:avLst/>
                          </a:prstGeom>
                        </pic:spPr>
                      </pic:pic>
                    </a:graphicData>
                  </a:graphic>
                </wp:anchor>
              </w:drawing>
            </w:r>
          </w:p>
          <w:p>
            <w:pPr>
              <w:pStyle w:val="Cuerpodetextoconsangra"/>
              <w:ind w:left="0" w:hanging="0"/>
              <w:rPr/>
            </w:pPr>
            <w:r>
              <w:rPr/>
            </w:r>
          </w:p>
          <w:p>
            <w:pPr>
              <w:pStyle w:val="Cuerpodetextoconsangra"/>
              <w:ind w:left="0" w:hanging="0"/>
              <w:rPr/>
            </w:pPr>
            <w:r>
              <w:rPr/>
            </w:r>
          </w:p>
          <w:p>
            <w:pPr>
              <w:pStyle w:val="Cuerpodetextoconsangra"/>
              <w:ind w:left="0" w:hanging="0"/>
              <w:rPr/>
            </w:pPr>
            <w:r>
              <w:rPr/>
            </w:r>
          </w:p>
          <w:p>
            <w:pPr>
              <w:pStyle w:val="Cuerpodetextoconsangra"/>
              <w:spacing w:before="120" w:after="120"/>
              <w:ind w:left="0" w:hanging="0"/>
              <w:rPr/>
            </w:pPr>
            <w:r>
              <w:rPr/>
            </w:r>
          </w:p>
        </w:tc>
      </w:tr>
      <w:tr>
        <w:trPr>
          <w:trHeight w:val="3413" w:hRule="atLeast"/>
          <w:cantSplit w:val="true"/>
        </w:trPr>
        <w:tc>
          <w:tcPr>
            <w:tcW w:w="8280" w:type="dxa"/>
            <w:tcBorders>
              <w:top w:val="single" w:sz="4" w:space="0" w:color="000000"/>
              <w:left w:val="single" w:sz="4" w:space="0" w:color="000000"/>
              <w:bottom w:val="single" w:sz="4" w:space="0" w:color="000000"/>
              <w:right w:val="single" w:sz="4" w:space="0" w:color="000000"/>
            </w:tcBorders>
          </w:tcPr>
          <w:p>
            <w:pPr>
              <w:pStyle w:val="Cuerpodetextoconsangra"/>
              <w:spacing w:before="120" w:after="120"/>
              <w:ind w:left="340" w:hanging="0"/>
              <w:rPr/>
            </w:pPr>
            <w:r>
              <w:rPr/>
              <w:t>Comentarios:</w:t>
            </w:r>
          </w:p>
          <w:p>
            <w:pPr>
              <w:pStyle w:val="Cuerpodetextoconsangra"/>
              <w:rPr/>
            </w:pPr>
            <w:r>
              <w:rPr/>
            </w:r>
          </w:p>
          <w:p>
            <w:pPr>
              <w:pStyle w:val="Cuerpodetextoconsangra"/>
              <w:ind w:left="0" w:hanging="0"/>
              <w:rPr/>
            </w:pPr>
            <w:r>
              <w:rPr/>
              <w:t>Al aumentar el tamaño de la ventana por la que se multiplica la señal la respuesta en frecuencia se ve menos afectada y resulta en aproximadamente una delta desplazada en w0.</w:t>
            </w:r>
          </w:p>
          <w:p>
            <w:pPr>
              <w:pStyle w:val="Cuerpodetextoconsangra"/>
              <w:rPr/>
            </w:pPr>
            <w:r>
              <w:rPr/>
            </w:r>
          </w:p>
          <w:p>
            <w:pPr>
              <w:pStyle w:val="Cuerpodetextoconsangra"/>
              <w:spacing w:before="120" w:after="120"/>
              <w:ind w:left="340" w:hanging="0"/>
              <w:rPr/>
            </w:pPr>
            <w:r>
              <w:rPr/>
            </w:r>
          </w:p>
        </w:tc>
      </w:tr>
    </w:tbl>
    <w:p>
      <w:pPr>
        <w:pStyle w:val="Cuerpodetextoconsangra"/>
        <w:tabs>
          <w:tab w:val="clear" w:pos="708"/>
          <w:tab w:val="left" w:pos="1080" w:leader="none"/>
        </w:tabs>
        <w:ind w:left="1075" w:hanging="0"/>
        <w:rPr/>
      </w:pPr>
      <w:r>
        <w:rPr/>
      </w:r>
    </w:p>
    <w:p>
      <w:pPr>
        <w:pStyle w:val="Cuerpodetextoconsangra"/>
        <w:numPr>
          <w:ilvl w:val="0"/>
          <w:numId w:val="4"/>
        </w:numPr>
        <w:tabs>
          <w:tab w:val="clear" w:pos="708"/>
          <w:tab w:val="left" w:pos="1080" w:leader="none"/>
        </w:tabs>
        <w:rPr/>
      </w:pPr>
      <w:r>
        <w:rPr/>
        <w:t xml:space="preserve">Existen dos factores que afectan a la DTFT obtenida al tratar de observar el espectro de una señal de duración infinita mediante la utilización de una ventana. Uno de ellos es la longitud de la ventana con la que se observa la señal. Dibuje la DTFT (sólo amplitud) de una ventana rectangular de longitud L=32, 64, 128 y 256. Calcule la DTFT empleando un valor N=1024 en todos los casos. Dibuje, a la derecha de las DTFTs de las ventanas la DTFT (sólo amplitud) de la señal exponencial compleja del ejercicio anterior multiplicada por cada una de las 4 ventanas anteriores. Comente los resultados. ¿Qué longitud de ventana le parece más apropiada?. Al igual que hizo en apartados anteriores, utilice las funciones </w:t>
      </w:r>
      <w:r>
        <w:rPr>
          <w:rFonts w:cs="Courier New" w:ascii="Courier New" w:hAnsi="Courier New"/>
          <w:sz w:val="20"/>
          <w:lang w:val="en-GB"/>
        </w:rPr>
        <w:t>pause</w:t>
      </w:r>
      <w:r>
        <w:rPr/>
        <w:t xml:space="preserve"> y </w:t>
      </w:r>
      <w:r>
        <w:rPr>
          <w:rFonts w:cs="Courier New" w:ascii="Courier New" w:hAnsi="Courier New"/>
          <w:sz w:val="20"/>
          <w:lang w:val="en-GB"/>
        </w:rPr>
        <w:t>disp</w:t>
      </w:r>
      <w:r>
        <w:rPr/>
        <w:t xml:space="preserve"> para ir mostrando las diferentes gráficas en orden secuencial, dejando claro qué gráfica se muestra en cada momento.</w:t>
      </w:r>
    </w:p>
    <w:tbl>
      <w:tblPr>
        <w:tblW w:w="8280" w:type="dxa"/>
        <w:jc w:val="left"/>
        <w:tblInd w:w="430" w:type="dxa"/>
        <w:tblCellMar>
          <w:top w:w="0" w:type="dxa"/>
          <w:left w:w="70" w:type="dxa"/>
          <w:bottom w:w="0" w:type="dxa"/>
          <w:right w:w="70" w:type="dxa"/>
        </w:tblCellMar>
        <w:tblLook w:val="0000" w:noHBand="0" w:noVBand="0" w:firstColumn="0" w:lastRow="0" w:lastColumn="0" w:firstRow="0"/>
      </w:tblPr>
      <w:tblGrid>
        <w:gridCol w:w="8280"/>
      </w:tblGrid>
      <w:tr>
        <w:trPr>
          <w:trHeight w:val="8265" w:hRule="atLeast"/>
          <w:cantSplit w:val="true"/>
        </w:trPr>
        <w:tc>
          <w:tcPr>
            <w:tcW w:w="8280" w:type="dxa"/>
            <w:tcBorders>
              <w:top w:val="single" w:sz="4" w:space="0" w:color="000000"/>
              <w:left w:val="single" w:sz="4" w:space="0" w:color="000000"/>
              <w:bottom w:val="single" w:sz="4" w:space="0" w:color="000000"/>
              <w:right w:val="single" w:sz="4" w:space="0" w:color="000000"/>
            </w:tcBorders>
          </w:tcPr>
          <w:p>
            <w:pPr>
              <w:pStyle w:val="Cuerpodetextoconsangra"/>
              <w:spacing w:before="120" w:after="120"/>
              <w:ind w:left="340" w:hanging="0"/>
              <w:rPr/>
            </w:pPr>
            <w:r>
              <w:rPr/>
              <w:t>Gráficas:</w:t>
            </w:r>
          </w:p>
          <w:p>
            <w:pPr>
              <w:pStyle w:val="Cuerpodetextoconsangra"/>
              <w:rPr/>
            </w:pPr>
            <w:r>
              <w:rPr/>
            </w:r>
          </w:p>
          <w:p>
            <w:pPr>
              <w:pStyle w:val="Cuerpodetextoconsangra"/>
              <w:rPr/>
            </w:pPr>
            <w:r>
              <w:rPr/>
            </w:r>
          </w:p>
          <w:p>
            <w:pPr>
              <w:pStyle w:val="Cuerpodetextoconsangra"/>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953000" cy="4115435"/>
                  <wp:effectExtent l="0" t="0" r="0" b="0"/>
                  <wp:wrapSquare wrapText="largest"/>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9"/>
                          <a:stretch>
                            <a:fillRect/>
                          </a:stretch>
                        </pic:blipFill>
                        <pic:spPr bwMode="auto">
                          <a:xfrm>
                            <a:off x="0" y="0"/>
                            <a:ext cx="4953000" cy="4115435"/>
                          </a:xfrm>
                          <a:prstGeom prst="rect">
                            <a:avLst/>
                          </a:prstGeom>
                        </pic:spPr>
                      </pic:pic>
                    </a:graphicData>
                  </a:graphic>
                </wp:anchor>
              </w:drawing>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spacing w:before="120" w:after="120"/>
              <w:ind w:left="340" w:hanging="0"/>
              <w:rPr/>
            </w:pPr>
            <w:r>
              <w:rPr/>
            </w:r>
          </w:p>
        </w:tc>
      </w:tr>
      <w:tr>
        <w:trPr>
          <w:trHeight w:val="4828" w:hRule="atLeast"/>
          <w:cantSplit w:val="true"/>
        </w:trPr>
        <w:tc>
          <w:tcPr>
            <w:tcW w:w="8280" w:type="dxa"/>
            <w:tcBorders>
              <w:top w:val="single" w:sz="4" w:space="0" w:color="000000"/>
              <w:left w:val="single" w:sz="4" w:space="0" w:color="000000"/>
              <w:bottom w:val="single" w:sz="4" w:space="0" w:color="000000"/>
              <w:right w:val="single" w:sz="4" w:space="0" w:color="000000"/>
            </w:tcBorders>
          </w:tcPr>
          <w:p>
            <w:pPr>
              <w:pStyle w:val="Cuerpodetextoconsangra"/>
              <w:spacing w:before="120" w:after="120"/>
              <w:ind w:left="340" w:hanging="0"/>
              <w:rPr/>
            </w:pPr>
            <w:r>
              <w:rPr/>
              <w:t>Comentarios:</w:t>
            </w:r>
          </w:p>
          <w:p>
            <w:pPr>
              <w:pStyle w:val="Cuerpodetextoconsangra"/>
              <w:rPr/>
            </w:pPr>
            <w:r>
              <w:rPr/>
            </w:r>
          </w:p>
          <w:p>
            <w:pPr>
              <w:pStyle w:val="Cuerpodetextoconsangra"/>
              <w:rPr/>
            </w:pPr>
            <w:r>
              <w:rPr/>
              <w:t>Al aumentar el tamaño L de la ventana, obtenemos señales que se parecen más a una delta centrada en w0. Por tanto la longitud más adecuada será la mayor.</w:t>
            </w:r>
          </w:p>
          <w:p>
            <w:pPr>
              <w:pStyle w:val="Cuerpodetextoconsangra"/>
              <w:rPr/>
            </w:pPr>
            <w:r>
              <w:rPr/>
            </w:r>
          </w:p>
          <w:p>
            <w:pPr>
              <w:pStyle w:val="Cuerpodetextoconsangra"/>
              <w:ind w:left="0" w:hanging="0"/>
              <w:rPr/>
            </w:pPr>
            <w:r>
              <w:rPr/>
            </w:r>
          </w:p>
          <w:p>
            <w:pPr>
              <w:pStyle w:val="Cuerpodetextoconsangra"/>
              <w:rPr/>
            </w:pPr>
            <w:r>
              <w:rPr/>
              <w:t>Es decir, la señal multiplicada por una ventana de gran tamaño se aproxima más a la TFTD de la señal que nos interesa.</w:t>
            </w:r>
          </w:p>
          <w:p>
            <w:pPr>
              <w:pStyle w:val="Cuerpodetextoconsangra"/>
              <w:rPr/>
            </w:pPr>
            <w:r>
              <w:rPr/>
            </w:r>
          </w:p>
          <w:p>
            <w:pPr>
              <w:pStyle w:val="Cuerpodetextoconsangra"/>
              <w:rPr/>
            </w:pPr>
            <w:r>
              <w:rPr/>
            </w:r>
          </w:p>
          <w:p>
            <w:pPr>
              <w:pStyle w:val="Cuerpodetextoconsangra"/>
              <w:spacing w:before="120" w:after="120"/>
              <w:ind w:left="340" w:hanging="0"/>
              <w:rPr/>
            </w:pPr>
            <w:r>
              <w:rPr/>
            </w:r>
          </w:p>
        </w:tc>
      </w:tr>
    </w:tbl>
    <w:p>
      <w:pPr>
        <w:pStyle w:val="Cuerpodetextoconsangra"/>
        <w:tabs>
          <w:tab w:val="clear" w:pos="708"/>
          <w:tab w:val="left" w:pos="1080" w:leader="none"/>
        </w:tabs>
        <w:ind w:left="1075" w:hanging="0"/>
        <w:rPr/>
      </w:pPr>
      <w:r>
        <w:rPr/>
      </w:r>
    </w:p>
    <w:p>
      <w:pPr>
        <w:pStyle w:val="Cuerpodetextoconsangra"/>
        <w:numPr>
          <w:ilvl w:val="0"/>
          <w:numId w:val="4"/>
        </w:numPr>
        <w:tabs>
          <w:tab w:val="clear" w:pos="708"/>
          <w:tab w:val="left" w:pos="1080" w:leader="none"/>
        </w:tabs>
        <w:rPr/>
      </w:pPr>
      <w:r>
        <w:rPr/>
        <w:t xml:space="preserve">Otro factor que influye en la capacidad de una ventana para observar el espectro de una señal es la forma de la ventana. Ha podido comprobar en el apartado anterior que la DTFT de la ventana rectangular tiene un lóbulo principal y varios lóbulos secundarios indeseables que tienden a emborronar la DTFT de la señal enventanada. En la práctica, la ventana rectangular se emplea muy raramente. En su lugar se emplean ventanas cuyas DTFTs tienen propiedades más satisfactorias. Una de ellas es la ventana de Hanning (ver la función </w:t>
      </w:r>
      <w:r>
        <w:rPr>
          <w:rFonts w:cs="Courier New" w:ascii="Courier New" w:hAnsi="Courier New"/>
        </w:rPr>
        <w:t>hanning</w:t>
      </w:r>
      <w:r>
        <w:rPr/>
        <w:t xml:space="preserve"> de MATLAB), dada por la fórmula:</w:t>
      </w:r>
    </w:p>
    <w:p>
      <w:pPr>
        <w:pStyle w:val="Cuerpodetextoconsangra"/>
        <w:tabs>
          <w:tab w:val="clear" w:pos="708"/>
          <w:tab w:val="left" w:pos="1080" w:leader="none"/>
        </w:tabs>
        <w:jc w:val="center"/>
        <w:rPr/>
      </w:pP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d>
          <m:dPr>
            <m:begChr m:val="{"/>
            <m:endChr m:val=""/>
          </m:dPr>
          <m:e>
            <m:m>
              <m:mr>
                <m:e>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m:rPr>
                      <m:lit/>
                      <m:nor/>
                    </m:rP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L</m:t>
                          </m:r>
                        </m:den>
                      </m:f>
                      <m:r>
                        <w:rPr>
                          <w:rFonts w:ascii="Cambria Math" w:hAnsi="Cambria Math"/>
                        </w:rPr>
                        <m:t xml:space="preserve">n</m:t>
                      </m:r>
                    </m:e>
                  </m:d>
                </m:e>
                <m:e>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m:t>
                  </m:r>
                </m:e>
              </m:mr>
              <m:mr>
                <m:e>
                  <m:r>
                    <w:rPr>
                      <w:rFonts w:ascii="Cambria Math" w:hAnsi="Cambria Math"/>
                    </w:rPr>
                    <m:t xml:space="preserve">0</m:t>
                  </m:r>
                </m:e>
                <m:e>
                  <m:r>
                    <m:rPr>
                      <m:lit/>
                      <m:nor/>
                    </m:rPr>
                    <w:rPr>
                      <w:rFonts w:ascii="Cambria Math" w:hAnsi="Cambria Math"/>
                    </w:rPr>
                    <m:t xml:space="preserve">resto</m:t>
                  </m:r>
                </m:e>
              </m:mr>
            </m:m>
          </m:e>
        </m:d>
      </m:oMath>
    </w:p>
    <w:p>
      <w:pPr>
        <w:pStyle w:val="Cuerpodetextoconsangra"/>
        <w:tabs>
          <w:tab w:val="clear" w:pos="708"/>
          <w:tab w:val="left" w:pos="1080" w:leader="none"/>
        </w:tabs>
        <w:ind w:left="1440" w:hanging="0"/>
        <w:rPr/>
      </w:pPr>
      <w:r>
        <w:rPr/>
        <w:t>Dibuje la DTFT de una ventana de Hanning de longitud 32 y la DTFT de una ventana rectangular de longitud 32 (emplee para ello N=1024 en el cálculo de la DTFT). Comente las diferencias entre ellas. Observe sobre todo la altura y anchura del lóbulo principal, y la altura de los lóbulos secundarios. ¿Cuál cree que es más apropiada para analizar el espectro de la señal exponencial compleja del apartado anterior? Dibuje la DTFT de ambas ventanas multiplicadas por la exponencial compleja del apartado anterior y compruebe si su respuesta es correcta.</w:t>
      </w:r>
    </w:p>
    <w:tbl>
      <w:tblPr>
        <w:tblW w:w="8335" w:type="dxa"/>
        <w:jc w:val="left"/>
        <w:tblInd w:w="430" w:type="dxa"/>
        <w:tblCellMar>
          <w:top w:w="0" w:type="dxa"/>
          <w:left w:w="70" w:type="dxa"/>
          <w:bottom w:w="0" w:type="dxa"/>
          <w:right w:w="70" w:type="dxa"/>
        </w:tblCellMar>
        <w:tblLook w:val="0000" w:noHBand="0" w:noVBand="0" w:firstColumn="0" w:lastRow="0" w:lastColumn="0" w:firstRow="0"/>
      </w:tblPr>
      <w:tblGrid>
        <w:gridCol w:w="8335"/>
      </w:tblGrid>
      <w:tr>
        <w:trPr>
          <w:trHeight w:val="8025" w:hRule="atLeast"/>
          <w:cantSplit w:val="true"/>
        </w:trPr>
        <w:tc>
          <w:tcPr>
            <w:tcW w:w="8335" w:type="dxa"/>
            <w:tcBorders>
              <w:top w:val="single" w:sz="4" w:space="0" w:color="000000"/>
              <w:left w:val="single" w:sz="4" w:space="0" w:color="000000"/>
              <w:bottom w:val="single" w:sz="4" w:space="0" w:color="000000"/>
              <w:right w:val="single" w:sz="4" w:space="0" w:color="000000"/>
            </w:tcBorders>
          </w:tcPr>
          <w:p>
            <w:pPr>
              <w:pStyle w:val="Cuerpodetextoconsangra"/>
              <w:spacing w:before="120" w:after="120"/>
              <w:ind w:left="340" w:hanging="0"/>
              <w:rPr/>
            </w:pPr>
            <w:r>
              <w:rPr/>
              <w:t>Gráficas:</w:t>
            </w:r>
          </w:p>
          <w:p>
            <w:pPr>
              <w:pStyle w:val="Cuerpodetextoconsangra"/>
              <w:rPr>
                <w:sz w:val="22"/>
                <w:szCs w:val="24"/>
                <w:lang w:val="es-ES" w:eastAsia="es-ES"/>
              </w:rPr>
            </w:pPr>
            <w:r>
              <w:rPr>
                <w:sz w:val="22"/>
                <w:szCs w:val="24"/>
                <w:lang w:val="es-ES" w:eastAsia="es-ES"/>
              </w:rPr>
              <w:t>Ventana rectangular</w:t>
            </w:r>
          </w:p>
          <w:p>
            <w:pPr>
              <w:pStyle w:val="Cuerpodetextoconsangra"/>
              <w:rPr/>
            </w:pPr>
            <w:r>
              <w:rPr/>
              <w:drawing>
                <wp:anchor behindDoc="0" distT="0" distB="0" distL="0" distR="0" simplePos="0" locked="0" layoutInCell="1" allowOverlap="1" relativeHeight="25">
                  <wp:simplePos x="0" y="0"/>
                  <wp:positionH relativeFrom="column">
                    <wp:posOffset>762000</wp:posOffset>
                  </wp:positionH>
                  <wp:positionV relativeFrom="paragraph">
                    <wp:posOffset>635</wp:posOffset>
                  </wp:positionV>
                  <wp:extent cx="3644900" cy="3004185"/>
                  <wp:effectExtent l="0" t="0" r="0" b="0"/>
                  <wp:wrapSquare wrapText="largest"/>
                  <wp:docPr id="9"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0" descr=""/>
                          <pic:cNvPicPr>
                            <a:picLocks noChangeAspect="1" noChangeArrowheads="1"/>
                          </pic:cNvPicPr>
                        </pic:nvPicPr>
                        <pic:blipFill>
                          <a:blip r:embed="rId10"/>
                          <a:stretch>
                            <a:fillRect/>
                          </a:stretch>
                        </pic:blipFill>
                        <pic:spPr bwMode="auto">
                          <a:xfrm>
                            <a:off x="0" y="0"/>
                            <a:ext cx="3644900" cy="3004185"/>
                          </a:xfrm>
                          <a:prstGeom prst="rect">
                            <a:avLst/>
                          </a:prstGeom>
                        </pic:spPr>
                      </pic:pic>
                    </a:graphicData>
                  </a:graphic>
                </wp:anchor>
              </w:drawing>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drawing>
                <wp:anchor behindDoc="0" distT="0" distB="0" distL="0" distR="0" simplePos="0" locked="0" layoutInCell="1" allowOverlap="1" relativeHeight="24">
                  <wp:simplePos x="0" y="0"/>
                  <wp:positionH relativeFrom="column">
                    <wp:posOffset>690245</wp:posOffset>
                  </wp:positionH>
                  <wp:positionV relativeFrom="paragraph">
                    <wp:posOffset>-24765</wp:posOffset>
                  </wp:positionV>
                  <wp:extent cx="3716020" cy="3025775"/>
                  <wp:effectExtent l="0" t="0" r="0" b="0"/>
                  <wp:wrapSquare wrapText="largest"/>
                  <wp:docPr id="1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pic:cNvPicPr>
                            <a:picLocks noChangeAspect="1" noChangeArrowheads="1"/>
                          </pic:cNvPicPr>
                        </pic:nvPicPr>
                        <pic:blipFill>
                          <a:blip r:embed="rId11"/>
                          <a:stretch>
                            <a:fillRect/>
                          </a:stretch>
                        </pic:blipFill>
                        <pic:spPr bwMode="auto">
                          <a:xfrm>
                            <a:off x="0" y="0"/>
                            <a:ext cx="3716020" cy="3025775"/>
                          </a:xfrm>
                          <a:prstGeom prst="rect">
                            <a:avLst/>
                          </a:prstGeom>
                        </pic:spPr>
                      </pic:pic>
                    </a:graphicData>
                  </a:graphic>
                </wp:anchor>
              </w:drawing>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ind w:left="0" w:hanging="0"/>
              <w:rPr/>
            </w:pPr>
            <w:r>
              <w:rPr/>
            </w:r>
          </w:p>
          <w:p>
            <w:pPr>
              <w:pStyle w:val="Cuerpodetextoconsangra"/>
              <w:rPr/>
            </w:pPr>
            <w:r>
              <w:rPr/>
            </w:r>
          </w:p>
          <w:p>
            <w:pPr>
              <w:pStyle w:val="Cuerpodetextoconsangra"/>
              <w:spacing w:before="120" w:after="120"/>
              <w:ind w:left="340" w:hanging="0"/>
              <w:rPr/>
            </w:pPr>
            <w:r>
              <w:rPr/>
            </w:r>
          </w:p>
        </w:tc>
      </w:tr>
      <w:tr>
        <w:trPr>
          <w:trHeight w:val="5031" w:hRule="atLeast"/>
          <w:cantSplit w:val="true"/>
        </w:trPr>
        <w:tc>
          <w:tcPr>
            <w:tcW w:w="8335" w:type="dxa"/>
            <w:tcBorders>
              <w:top w:val="single" w:sz="4" w:space="0" w:color="000000"/>
              <w:left w:val="single" w:sz="4" w:space="0" w:color="000000"/>
              <w:bottom w:val="single" w:sz="4" w:space="0" w:color="000000"/>
              <w:right w:val="single" w:sz="4" w:space="0" w:color="000000"/>
            </w:tcBorders>
          </w:tcPr>
          <w:p>
            <w:pPr>
              <w:pStyle w:val="Cuerpodetextoconsangra"/>
              <w:spacing w:before="120" w:after="120"/>
              <w:ind w:left="340" w:hanging="0"/>
              <w:rPr/>
            </w:pPr>
            <w:r>
              <w:rPr/>
              <w:t xml:space="preserve">Comentarios: </w:t>
            </w:r>
          </w:p>
          <w:p>
            <w:pPr>
              <w:pStyle w:val="Cuerpodetextoconsangra"/>
              <w:rPr/>
            </w:pPr>
            <w:r>
              <w:rPr/>
              <w:t xml:space="preserve">Ventana </w:t>
            </w:r>
            <w:r>
              <w:rPr>
                <w:sz w:val="22"/>
                <w:szCs w:val="24"/>
                <w:lang w:val="es-ES" w:eastAsia="es-ES"/>
              </w:rPr>
              <w:t>Hanning</w:t>
            </w:r>
          </w:p>
          <w:p>
            <w:pPr>
              <w:pStyle w:val="Cuerpodetextoconsangra"/>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987925" cy="4036060"/>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4987925" cy="4036060"/>
                          </a:xfrm>
                          <a:prstGeom prst="rect">
                            <a:avLst/>
                          </a:prstGeom>
                        </pic:spPr>
                      </pic:pic>
                    </a:graphicData>
                  </a:graphic>
                </wp:anchor>
              </w:drawing>
            </w:r>
          </w:p>
          <w:p>
            <w:pPr>
              <w:pStyle w:val="Cuerpodetextoconsangra"/>
              <w:rPr/>
            </w:pPr>
            <w:r>
              <w:rPr/>
              <w:drawing>
                <wp:anchor behindDoc="0" distT="0" distB="0" distL="0" distR="0" simplePos="0" locked="0" layoutInCell="1" allowOverlap="1" relativeHeight="26">
                  <wp:simplePos x="0" y="0"/>
                  <wp:positionH relativeFrom="column">
                    <wp:posOffset>263525</wp:posOffset>
                  </wp:positionH>
                  <wp:positionV relativeFrom="paragraph">
                    <wp:posOffset>-52070</wp:posOffset>
                  </wp:positionV>
                  <wp:extent cx="4622800" cy="3667760"/>
                  <wp:effectExtent l="0" t="0" r="0" b="0"/>
                  <wp:wrapSquare wrapText="largest"/>
                  <wp:docPr id="12"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 descr=""/>
                          <pic:cNvPicPr>
                            <a:picLocks noChangeAspect="1" noChangeArrowheads="1"/>
                          </pic:cNvPicPr>
                        </pic:nvPicPr>
                        <pic:blipFill>
                          <a:blip r:embed="rId13"/>
                          <a:stretch>
                            <a:fillRect/>
                          </a:stretch>
                        </pic:blipFill>
                        <pic:spPr bwMode="auto">
                          <a:xfrm>
                            <a:off x="0" y="0"/>
                            <a:ext cx="4622800" cy="3667760"/>
                          </a:xfrm>
                          <a:prstGeom prst="rect">
                            <a:avLst/>
                          </a:prstGeom>
                        </pic:spPr>
                      </pic:pic>
                    </a:graphicData>
                  </a:graphic>
                </wp:anchor>
              </w:drawing>
            </w:r>
          </w:p>
          <w:p>
            <w:pPr>
              <w:pStyle w:val="Cuerpodetextoconsangra"/>
              <w:ind w:left="0" w:hanging="0"/>
              <w:rPr/>
            </w:pPr>
            <w:r>
              <w:rPr/>
            </w:r>
          </w:p>
          <w:p>
            <w:pPr>
              <w:pStyle w:val="Cuerpodetextoconsangra"/>
              <w:ind w:left="0" w:hanging="0"/>
              <w:rPr/>
            </w:pPr>
            <w:r>
              <w:rPr/>
            </w:r>
          </w:p>
          <w:p>
            <w:pPr>
              <w:pStyle w:val="Cuerpodetextoconsangra"/>
              <w:ind w:left="0" w:hanging="0"/>
              <w:rPr/>
            </w:pPr>
            <w:r>
              <w:rPr/>
            </w:r>
          </w:p>
          <w:p>
            <w:pPr>
              <w:pStyle w:val="Cuerpodetextoconsangra"/>
              <w:ind w:left="0" w:hanging="0"/>
              <w:rPr/>
            </w:pPr>
            <w:r>
              <w:rPr/>
            </w:r>
          </w:p>
          <w:p>
            <w:pPr>
              <w:pStyle w:val="Cuerpodetextoconsangra"/>
              <w:ind w:left="0" w:hanging="0"/>
              <w:rPr/>
            </w:pPr>
            <w:r>
              <w:rPr/>
            </w:r>
          </w:p>
          <w:p>
            <w:pPr>
              <w:pStyle w:val="Cuerpodetextoconsangra"/>
              <w:ind w:left="0" w:hanging="0"/>
              <w:rPr/>
            </w:pPr>
            <w:r>
              <w:rPr/>
            </w:r>
          </w:p>
          <w:p>
            <w:pPr>
              <w:pStyle w:val="Cuerpodetextoconsangra"/>
              <w:ind w:left="0" w:hanging="0"/>
              <w:rPr/>
            </w:pPr>
            <w:r>
              <w:rPr/>
            </w:r>
          </w:p>
          <w:p>
            <w:pPr>
              <w:pStyle w:val="Cuerpodetextoconsangra"/>
              <w:ind w:left="0" w:hanging="0"/>
              <w:rPr/>
            </w:pPr>
            <w:r>
              <w:rPr/>
            </w:r>
          </w:p>
          <w:p>
            <w:pPr>
              <w:pStyle w:val="Cuerpodetextoconsangra"/>
              <w:ind w:left="0" w:hanging="0"/>
              <w:rPr/>
            </w:pPr>
            <w:r>
              <w:rPr/>
            </w:r>
          </w:p>
          <w:p>
            <w:pPr>
              <w:pStyle w:val="Cuerpodetextoconsangra"/>
              <w:ind w:left="0" w:hanging="0"/>
              <w:rPr/>
            </w:pPr>
            <w:r>
              <w:rPr/>
            </w:r>
          </w:p>
          <w:p>
            <w:pPr>
              <w:pStyle w:val="Cuerpodetextoconsangra"/>
              <w:ind w:left="0" w:hanging="0"/>
              <w:rPr/>
            </w:pPr>
            <w:r>
              <w:rPr/>
            </w:r>
          </w:p>
          <w:p>
            <w:pPr>
              <w:pStyle w:val="Cuerpodetextoconsangra"/>
              <w:ind w:left="0" w:hanging="0"/>
              <w:rPr/>
            </w:pPr>
            <w:r>
              <w:rPr/>
            </w:r>
          </w:p>
          <w:p>
            <w:pPr>
              <w:pStyle w:val="Cuerpodetextoconsangra"/>
              <w:ind w:left="0" w:hanging="0"/>
              <w:rPr/>
            </w:pPr>
            <w:r>
              <w:rPr/>
            </w:r>
          </w:p>
          <w:p>
            <w:pPr>
              <w:pStyle w:val="Cuerpodetextoconsangra"/>
              <w:rPr/>
            </w:pPr>
            <w:r>
              <w:rPr/>
            </w:r>
          </w:p>
          <w:p>
            <w:pPr>
              <w:pStyle w:val="Cuerpodetextoconsangra"/>
              <w:rPr/>
            </w:pPr>
            <w:r>
              <w:rPr/>
            </w:r>
          </w:p>
          <w:p>
            <w:pPr>
              <w:pStyle w:val="Cuerpodetextoconsangra"/>
              <w:tabs>
                <w:tab w:val="clear" w:pos="708"/>
                <w:tab w:val="left" w:pos="1080" w:leader="none"/>
              </w:tabs>
              <w:ind w:left="0" w:hanging="0"/>
              <w:rPr>
                <w:u w:val="single"/>
              </w:rPr>
            </w:pPr>
            <w:r>
              <w:rPr/>
              <w:t>La ventana de Hanning tiene menos distorsiones</w:t>
            </w:r>
          </w:p>
          <w:p>
            <w:pPr>
              <w:pStyle w:val="Cuerpodetextoconsangra"/>
              <w:rPr/>
            </w:pPr>
            <w:r>
              <w:rPr/>
            </w:r>
          </w:p>
          <w:p>
            <w:pPr>
              <w:pStyle w:val="Cuerpodetextoconsangra"/>
              <w:rPr/>
            </w:pPr>
            <w:r>
              <w:rPr/>
            </w:r>
          </w:p>
          <w:p>
            <w:pPr>
              <w:pStyle w:val="Cuerpodetextoconsangra"/>
              <w:rPr/>
            </w:pPr>
            <w:r>
              <w:rPr/>
            </w:r>
          </w:p>
          <w:p>
            <w:pPr>
              <w:pStyle w:val="Cuerpodetextoconsangra"/>
              <w:rPr/>
            </w:pPr>
            <w:r>
              <w:rPr/>
            </w:r>
          </w:p>
          <w:p>
            <w:pPr>
              <w:pStyle w:val="Cuerpodetextoconsangra"/>
              <w:spacing w:before="120" w:after="120"/>
              <w:ind w:left="340" w:hanging="0"/>
              <w:rPr/>
            </w:pPr>
            <w:r>
              <w:rPr/>
            </w:r>
          </w:p>
        </w:tc>
      </w:tr>
    </w:tbl>
    <w:p>
      <w:pPr>
        <w:pStyle w:val="Cuerpodetextoconsangra"/>
        <w:tabs>
          <w:tab w:val="clear" w:pos="708"/>
          <w:tab w:val="left" w:pos="1080" w:leader="none"/>
        </w:tabs>
        <w:spacing w:before="120" w:after="120"/>
        <w:ind w:left="0" w:hanging="0"/>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644"/>
        </w:tabs>
        <w:ind w:left="644" w:hanging="360"/>
      </w:pPr>
    </w:lvl>
    <w:lvl w:ilvl="1">
      <w:start w:val="1"/>
      <w:numFmt w:val="decimal"/>
      <w:lvlText w:val="%1.%2."/>
      <w:lvlJc w:val="left"/>
      <w:pPr>
        <w:tabs>
          <w:tab w:val="num" w:pos="1076"/>
        </w:tabs>
        <w:ind w:left="1076" w:hanging="432"/>
      </w:pPr>
    </w:lvl>
    <w:lvl w:ilvl="2">
      <w:start w:val="1"/>
      <w:numFmt w:val="decimal"/>
      <w:lvlText w:val="%1.%2.%3."/>
      <w:lvlJc w:val="left"/>
      <w:pPr>
        <w:tabs>
          <w:tab w:val="num" w:pos="1724"/>
        </w:tabs>
        <w:ind w:left="1508" w:hanging="504"/>
      </w:pPr>
    </w:lvl>
    <w:lvl w:ilvl="3">
      <w:start w:val="1"/>
      <w:numFmt w:val="decimal"/>
      <w:lvlText w:val="%1.%2.%3.%4."/>
      <w:lvlJc w:val="left"/>
      <w:pPr>
        <w:tabs>
          <w:tab w:val="num" w:pos="2084"/>
        </w:tabs>
        <w:ind w:left="2012" w:hanging="648"/>
      </w:pPr>
    </w:lvl>
    <w:lvl w:ilvl="4">
      <w:start w:val="1"/>
      <w:numFmt w:val="decimal"/>
      <w:lvlText w:val="%1.%2.%3.%4.%5."/>
      <w:lvlJc w:val="left"/>
      <w:pPr>
        <w:tabs>
          <w:tab w:val="num" w:pos="2804"/>
        </w:tabs>
        <w:ind w:left="2516" w:hanging="792"/>
      </w:pPr>
    </w:lvl>
    <w:lvl w:ilvl="5">
      <w:start w:val="1"/>
      <w:numFmt w:val="decimal"/>
      <w:lvlText w:val="%1.%2.%3.%4.%5.%6."/>
      <w:lvlJc w:val="left"/>
      <w:pPr>
        <w:tabs>
          <w:tab w:val="num" w:pos="3164"/>
        </w:tabs>
        <w:ind w:left="3020" w:hanging="936"/>
      </w:pPr>
    </w:lvl>
    <w:lvl w:ilvl="6">
      <w:start w:val="1"/>
      <w:numFmt w:val="decimal"/>
      <w:lvlText w:val="%1.%2.%3.%4.%5.%6.%7."/>
      <w:lvlJc w:val="left"/>
      <w:pPr>
        <w:tabs>
          <w:tab w:val="num" w:pos="3884"/>
        </w:tabs>
        <w:ind w:left="3524" w:hanging="1080"/>
      </w:pPr>
    </w:lvl>
    <w:lvl w:ilvl="7">
      <w:start w:val="1"/>
      <w:numFmt w:val="decimal"/>
      <w:lvlText w:val="%1.%2.%3.%4.%5.%6.%7.%8."/>
      <w:lvlJc w:val="left"/>
      <w:pPr>
        <w:tabs>
          <w:tab w:val="num" w:pos="4244"/>
        </w:tabs>
        <w:ind w:left="4028" w:hanging="1224"/>
      </w:pPr>
    </w:lvl>
    <w:lvl w:ilvl="8">
      <w:start w:val="1"/>
      <w:numFmt w:val="decimal"/>
      <w:lvlText w:val="%1.%2.%3.%4.%5.%6.%7.%8.%9."/>
      <w:lvlJc w:val="left"/>
      <w:pPr>
        <w:tabs>
          <w:tab w:val="num" w:pos="4964"/>
        </w:tabs>
        <w:ind w:left="4604" w:hanging="1440"/>
      </w:pPr>
    </w:lvl>
  </w:abstractNum>
  <w:abstractNum w:abstractNumId="2">
    <w:lvl w:ilvl="0">
      <w:start w:val="1"/>
      <w:numFmt w:val="decimal"/>
      <w:lvlText w:val="%1."/>
      <w:lvlJc w:val="left"/>
      <w:pPr>
        <w:tabs>
          <w:tab w:val="num" w:pos="1435"/>
        </w:tabs>
        <w:ind w:left="1435" w:hanging="360"/>
      </w:pPr>
    </w:lvl>
    <w:lvl w:ilvl="1">
      <w:start w:val="1"/>
      <w:numFmt w:val="lowerLetter"/>
      <w:lvlText w:val="%2."/>
      <w:lvlJc w:val="left"/>
      <w:pPr>
        <w:tabs>
          <w:tab w:val="num" w:pos="2155"/>
        </w:tabs>
        <w:ind w:left="2155" w:hanging="360"/>
      </w:pPr>
    </w:lvl>
    <w:lvl w:ilvl="2">
      <w:start w:val="1"/>
      <w:numFmt w:val="lowerRoman"/>
      <w:lvlText w:val="%3."/>
      <w:lvlJc w:val="right"/>
      <w:pPr>
        <w:tabs>
          <w:tab w:val="num" w:pos="2875"/>
        </w:tabs>
        <w:ind w:left="2875" w:hanging="180"/>
      </w:pPr>
    </w:lvl>
    <w:lvl w:ilvl="3">
      <w:start w:val="1"/>
      <w:numFmt w:val="decimal"/>
      <w:lvlText w:val="%4."/>
      <w:lvlJc w:val="left"/>
      <w:pPr>
        <w:tabs>
          <w:tab w:val="num" w:pos="3595"/>
        </w:tabs>
        <w:ind w:left="3595" w:hanging="360"/>
      </w:pPr>
    </w:lvl>
    <w:lvl w:ilvl="4">
      <w:start w:val="1"/>
      <w:numFmt w:val="lowerLetter"/>
      <w:lvlText w:val="%5."/>
      <w:lvlJc w:val="left"/>
      <w:pPr>
        <w:tabs>
          <w:tab w:val="num" w:pos="4315"/>
        </w:tabs>
        <w:ind w:left="4315" w:hanging="360"/>
      </w:pPr>
    </w:lvl>
    <w:lvl w:ilvl="5">
      <w:start w:val="1"/>
      <w:numFmt w:val="lowerRoman"/>
      <w:lvlText w:val="%6."/>
      <w:lvlJc w:val="right"/>
      <w:pPr>
        <w:tabs>
          <w:tab w:val="num" w:pos="5035"/>
        </w:tabs>
        <w:ind w:left="5035" w:hanging="180"/>
      </w:pPr>
    </w:lvl>
    <w:lvl w:ilvl="6">
      <w:start w:val="1"/>
      <w:numFmt w:val="decimal"/>
      <w:lvlText w:val="%7."/>
      <w:lvlJc w:val="left"/>
      <w:pPr>
        <w:tabs>
          <w:tab w:val="num" w:pos="5755"/>
        </w:tabs>
        <w:ind w:left="5755" w:hanging="360"/>
      </w:pPr>
    </w:lvl>
    <w:lvl w:ilvl="7">
      <w:start w:val="1"/>
      <w:numFmt w:val="lowerLetter"/>
      <w:lvlText w:val="%8."/>
      <w:lvlJc w:val="left"/>
      <w:pPr>
        <w:tabs>
          <w:tab w:val="num" w:pos="6475"/>
        </w:tabs>
        <w:ind w:left="6475" w:hanging="360"/>
      </w:pPr>
    </w:lvl>
    <w:lvl w:ilvl="8">
      <w:start w:val="1"/>
      <w:numFmt w:val="lowerRoman"/>
      <w:lvlText w:val="%9."/>
      <w:lvlJc w:val="right"/>
      <w:pPr>
        <w:tabs>
          <w:tab w:val="num" w:pos="7195"/>
        </w:tabs>
        <w:ind w:left="7195" w:hanging="180"/>
      </w:pPr>
    </w:lvl>
  </w:abstractNum>
  <w:abstractNum w:abstractNumId="3">
    <w:lvl w:ilvl="0">
      <w:start w:val="1"/>
      <w:numFmt w:val="lowerLetter"/>
      <w:lvlText w:val="%1)"/>
      <w:lvlJc w:val="left"/>
      <w:pPr>
        <w:tabs>
          <w:tab w:val="num" w:pos="1435"/>
        </w:tabs>
        <w:ind w:left="1435" w:hanging="360"/>
      </w:pPr>
    </w:lvl>
    <w:lvl w:ilvl="1">
      <w:start w:val="1"/>
      <w:numFmt w:val="lowerLetter"/>
      <w:lvlText w:val="%2."/>
      <w:lvlJc w:val="left"/>
      <w:pPr>
        <w:tabs>
          <w:tab w:val="num" w:pos="2155"/>
        </w:tabs>
        <w:ind w:left="2155" w:hanging="360"/>
      </w:pPr>
    </w:lvl>
    <w:lvl w:ilvl="2">
      <w:start w:val="1"/>
      <w:numFmt w:val="lowerRoman"/>
      <w:lvlText w:val="%3."/>
      <w:lvlJc w:val="right"/>
      <w:pPr>
        <w:tabs>
          <w:tab w:val="num" w:pos="2875"/>
        </w:tabs>
        <w:ind w:left="2875" w:hanging="180"/>
      </w:pPr>
    </w:lvl>
    <w:lvl w:ilvl="3">
      <w:start w:val="1"/>
      <w:numFmt w:val="decimal"/>
      <w:lvlText w:val="%4."/>
      <w:lvlJc w:val="left"/>
      <w:pPr>
        <w:tabs>
          <w:tab w:val="num" w:pos="3595"/>
        </w:tabs>
        <w:ind w:left="3595" w:hanging="360"/>
      </w:pPr>
    </w:lvl>
    <w:lvl w:ilvl="4">
      <w:start w:val="1"/>
      <w:numFmt w:val="lowerLetter"/>
      <w:lvlText w:val="%5."/>
      <w:lvlJc w:val="left"/>
      <w:pPr>
        <w:tabs>
          <w:tab w:val="num" w:pos="4315"/>
        </w:tabs>
        <w:ind w:left="4315" w:hanging="360"/>
      </w:pPr>
    </w:lvl>
    <w:lvl w:ilvl="5">
      <w:start w:val="1"/>
      <w:numFmt w:val="lowerRoman"/>
      <w:lvlText w:val="%6."/>
      <w:lvlJc w:val="right"/>
      <w:pPr>
        <w:tabs>
          <w:tab w:val="num" w:pos="5035"/>
        </w:tabs>
        <w:ind w:left="5035" w:hanging="180"/>
      </w:pPr>
    </w:lvl>
    <w:lvl w:ilvl="6">
      <w:start w:val="1"/>
      <w:numFmt w:val="decimal"/>
      <w:lvlText w:val="%7."/>
      <w:lvlJc w:val="left"/>
      <w:pPr>
        <w:tabs>
          <w:tab w:val="num" w:pos="5755"/>
        </w:tabs>
        <w:ind w:left="5755" w:hanging="360"/>
      </w:pPr>
    </w:lvl>
    <w:lvl w:ilvl="7">
      <w:start w:val="1"/>
      <w:numFmt w:val="lowerLetter"/>
      <w:lvlText w:val="%8."/>
      <w:lvlJc w:val="left"/>
      <w:pPr>
        <w:tabs>
          <w:tab w:val="num" w:pos="6475"/>
        </w:tabs>
        <w:ind w:left="6475" w:hanging="360"/>
      </w:pPr>
    </w:lvl>
    <w:lvl w:ilvl="8">
      <w:start w:val="1"/>
      <w:numFmt w:val="lowerRoman"/>
      <w:lvlText w:val="%9."/>
      <w:lvlJc w:val="right"/>
      <w:pPr>
        <w:tabs>
          <w:tab w:val="num" w:pos="7195"/>
        </w:tabs>
        <w:ind w:left="7195" w:hanging="180"/>
      </w:pPr>
    </w:lvl>
  </w:abstractNum>
  <w:abstractNum w:abstractNumId="4">
    <w:lvl w:ilvl="0">
      <w:start w:val="1"/>
      <w:numFmt w:val="lowerLetter"/>
      <w:lvlText w:val="%1)"/>
      <w:lvlJc w:val="left"/>
      <w:pPr>
        <w:tabs>
          <w:tab w:val="num" w:pos="1435"/>
        </w:tabs>
        <w:ind w:left="1435"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embedSystemFonts/>
  <w:defaultTabStop w:val="708"/>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120" w:after="120"/>
      <w:ind w:left="284" w:hanging="0"/>
      <w:jc w:val="both"/>
    </w:pPr>
    <w:rPr>
      <w:rFonts w:ascii="Times New Roman" w:hAnsi="Times New Roman" w:eastAsia="Times New Roman" w:cs="Times New Roman"/>
      <w:color w:val="auto"/>
      <w:kern w:val="0"/>
      <w:sz w:val="22"/>
      <w:szCs w:val="24"/>
      <w:lang w:val="es-ES" w:eastAsia="es-ES" w:bidi="ar-SA"/>
    </w:rPr>
  </w:style>
  <w:style w:type="character" w:styleId="DefaultParagraphFont" w:default="1">
    <w:name w:val="Default Paragraph Font"/>
    <w:semiHidden/>
    <w:qFormat/>
    <w:rPr/>
  </w:style>
  <w:style w:type="character" w:styleId="EnlacedeInternet">
    <w:name w:val="Enlace de Internet"/>
    <w:basedOn w:val="DefaultParagraphFont"/>
    <w:rPr>
      <w:color w:val="0000FF"/>
      <w:u w:val="single"/>
    </w:rPr>
  </w:style>
  <w:style w:type="character" w:styleId="EnlacedeInternetvisitado">
    <w:name w:val="Enlace de Internet visitado"/>
    <w:basedOn w:val="DefaultParagraphFont"/>
    <w:rPr>
      <w:color w:val="8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qFormat/>
    <w:pPr>
      <w:jc w:val="center"/>
    </w:pPr>
    <w:rPr>
      <w:b/>
      <w:bCs/>
      <w:sz w:val="28"/>
    </w:rPr>
  </w:style>
  <w:style w:type="paragraph" w:styleId="Subttulo">
    <w:name w:val="Subtitle"/>
    <w:basedOn w:val="Normal"/>
    <w:qFormat/>
    <w:pPr>
      <w:tabs>
        <w:tab w:val="clear" w:pos="708"/>
        <w:tab w:val="left" w:pos="360" w:leader="none"/>
      </w:tabs>
      <w:spacing w:before="360" w:after="360"/>
      <w:ind w:left="0" w:hanging="0"/>
      <w:jc w:val="left"/>
    </w:pPr>
    <w:rPr>
      <w:b/>
      <w:bCs/>
      <w:sz w:val="28"/>
    </w:rPr>
  </w:style>
  <w:style w:type="paragraph" w:styleId="Cuerpodetextoconsangra">
    <w:name w:val="Body Text Indent"/>
    <w:basedOn w:val="Normal"/>
    <w:pPr>
      <w:ind w:left="340" w:hanging="0"/>
    </w:pPr>
    <w:rPr/>
  </w:style>
  <w:style w:type="paragraph" w:styleId="TDS" w:customStyle="1">
    <w:name w:val="TDS"/>
    <w:basedOn w:val="Subttulo"/>
    <w:qFormat/>
    <w:pPr>
      <w:spacing w:before="480" w:after="360"/>
      <w:ind w:left="284" w:hanging="0"/>
      <w:jc w:val="center"/>
    </w:pPr>
    <w:rPr>
      <w:sz w:val="40"/>
    </w:rPr>
  </w:style>
  <w:style w:type="paragraph" w:styleId="Cabecera" w:customStyle="1">
    <w:name w:val="cabecera"/>
    <w:basedOn w:val="Ttulogeneral"/>
    <w:qFormat/>
    <w:pPr/>
    <w:rPr>
      <w:sz w:val="24"/>
    </w:rPr>
  </w:style>
  <w:style w:type="paragraph" w:styleId="Curso" w:customStyle="1">
    <w:name w:val="curso"/>
    <w:basedOn w:val="Subttulo"/>
    <w:qFormat/>
    <w:pPr>
      <w:ind w:left="284" w:hanging="0"/>
      <w:jc w:val="center"/>
    </w:pPr>
    <w:rPr>
      <w:sz w:val="32"/>
    </w:rPr>
  </w:style>
  <w:style w:type="paragraph" w:styleId="Titulopractica" w:customStyle="1">
    <w:name w:val="titulopractica"/>
    <w:basedOn w:val="Subttulo"/>
    <w:qFormat/>
    <w:pPr>
      <w:spacing w:before="240" w:after="120"/>
      <w:ind w:left="284" w:hanging="0"/>
    </w:pPr>
    <w:rPr>
      <w:sz w:val="32"/>
    </w:rPr>
  </w:style>
  <w:style w:type="paragraph" w:styleId="Tablanombres" w:customStyle="1">
    <w:name w:val="tablanombres"/>
    <w:basedOn w:val="Subttulo"/>
    <w:qFormat/>
    <w:pPr>
      <w:spacing w:before="120" w:after="120"/>
      <w:ind w:left="284" w:hanging="0"/>
    </w:pPr>
    <w:rPr>
      <w:sz w:val="20"/>
    </w:rPr>
  </w:style>
  <w:style w:type="paragraph" w:styleId="Codigo" w:customStyle="1">
    <w:name w:val="codigo"/>
    <w:basedOn w:val="Cuerpodetextoconsangra"/>
    <w:qFormat/>
    <w:pPr>
      <w:spacing w:before="0" w:after="0"/>
    </w:pPr>
    <w:rPr>
      <w:rFonts w:ascii="Courier New" w:hAnsi="Courier New" w:cs="Courier New"/>
      <w:sz w:val="20"/>
      <w:lang w:val="en-GB"/>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semiHidden/>
    <w:qFormat/>
  </w:style>
  <w:style w:type="table" w:default="1" w:styleId="Tabla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LibreOffice/6.4.7.2$Linux_X86_64 LibreOffice_project/40$Build-2</Application>
  <Pages>17</Pages>
  <Words>1918</Words>
  <Characters>9353</Characters>
  <CharactersWithSpaces>11191</CharactersWithSpaces>
  <Paragraphs>97</Paragraphs>
  <Company>TID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2020-11-27T16:34:00Z</dcterms:created>
  <dc:creator>DTT</dc:creator>
  <dc:description/>
  <dc:language>es-ES</dc:language>
  <cp:lastModifiedBy/>
  <cp:lastPrinted>2004-09-27T15:25:00Z</cp:lastPrinted>
  <dcterms:modified xsi:type="dcterms:W3CDTF">2021-12-20T12:53:23Z</dcterms:modified>
  <cp:revision>19</cp:revision>
  <dc:subject/>
  <dc:title>Escuela Politécnica Superior – Ingeniería Informática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