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8E90C">
      <w:pPr>
        <w:spacing w:before="1200"/>
      </w:pPr>
    </w:p>
    <w:p w14:paraId="071EA524">
      <w:pPr>
        <w:spacing w:after="200"/>
        <w:jc w:val="center"/>
      </w:pPr>
      <w:r>
        <w:rPr>
          <w:b/>
          <w:bCs/>
          <w:color w:val="000000"/>
          <w:sz w:val="56"/>
          <w:szCs w:val="56"/>
        </w:rPr>
        <w:t>Customer Churn Prediction</w:t>
      </w:r>
    </w:p>
    <w:p w14:paraId="41F9EF83">
      <w:pPr>
        <w:spacing w:after="600"/>
        <w:jc w:val="center"/>
      </w:pPr>
      <w:r>
        <w:rPr>
          <w:color w:val="000000"/>
          <w:sz w:val="30"/>
          <w:szCs w:val="30"/>
        </w:rPr>
        <w:t>Week 3 Report: Machine Learning Model Development</w:t>
      </w:r>
    </w:p>
    <w:p w14:paraId="2F6A1B7A">
      <w:pPr>
        <w:spacing w:after="100"/>
        <w:jc w:val="center"/>
        <w:rPr>
          <w:b/>
          <w:bCs/>
          <w:i w:val="0"/>
          <w:iCs w:val="0"/>
          <w:sz w:val="28"/>
          <w:szCs w:val="28"/>
        </w:rPr>
      </w:pPr>
      <w:r>
        <w:rPr>
          <w:b/>
          <w:bCs/>
          <w:i w:val="0"/>
          <w:iCs w:val="0"/>
          <w:color w:val="000000"/>
          <w:sz w:val="28"/>
          <w:szCs w:val="28"/>
        </w:rPr>
        <w:t>NexAfrica Machine Learning Internship</w:t>
      </w:r>
    </w:p>
    <w:p w14:paraId="076D0E9D">
      <w:pPr>
        <w:jc w:val="center"/>
        <w:rPr>
          <w:rFonts w:hint="default"/>
          <w:lang w:val="en-GB"/>
        </w:rPr>
      </w:pPr>
      <w:r>
        <w:rPr>
          <w:color w:val="000000"/>
          <w:sz w:val="22"/>
          <w:szCs w:val="22"/>
        </w:rPr>
        <w:t xml:space="preserve">Prepared by: </w:t>
      </w:r>
      <w:r>
        <w:rPr>
          <w:rFonts w:hint="default"/>
          <w:color w:val="000000"/>
          <w:sz w:val="22"/>
          <w:szCs w:val="22"/>
          <w:lang w:val="en-GB"/>
        </w:rPr>
        <w:t>GLORIA BOATENG</w:t>
      </w:r>
    </w:p>
    <w:p w14:paraId="1089F6F6">
      <w:r>
        <w:br w:type="page"/>
      </w:r>
    </w:p>
    <w:p w14:paraId="7F219C49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1. Overview</w:t>
      </w:r>
    </w:p>
    <w:p w14:paraId="3E1B49E8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report covers Week 3 of the Customer Churn Prediction project: preparing training and testing data from the Week 2 feature-engineered dataset, building a baseline classification model, training two additional models, and comparing their performance to make an initial model selection.</w:t>
      </w:r>
    </w:p>
    <w:p w14:paraId="6BB17548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2. Training and Testing Data</w:t>
      </w:r>
    </w:p>
    <w:p w14:paraId="3B7A3700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feature-engineered and preprocessed dataset from Week 2 (7,043 rows x 36 feature columns) was split using an 80/20 stratified train/test split to preserve the churn class ratio (73.46% No / 26.54% Yes) in both sets.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3117"/>
        <w:gridCol w:w="3117"/>
      </w:tblGrid>
      <w:tr w14:paraId="16DF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shd w:val="clear" w:color="auto" w:fill="D9D9D9"/>
          </w:tcPr>
          <w:p w14:paraId="381DB11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Set</w:t>
            </w:r>
          </w:p>
        </w:tc>
        <w:tc>
          <w:tcPr>
            <w:tcW w:w="3116" w:type="dxa"/>
            <w:shd w:val="clear" w:color="auto" w:fill="D9D9D9"/>
          </w:tcPr>
          <w:p w14:paraId="0F2715C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Rows</w:t>
            </w:r>
          </w:p>
        </w:tc>
        <w:tc>
          <w:tcPr>
            <w:tcW w:w="3116" w:type="dxa"/>
            <w:shd w:val="clear" w:color="auto" w:fill="D9D9D9"/>
          </w:tcPr>
          <w:p w14:paraId="22971A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Columns</w:t>
            </w:r>
          </w:p>
        </w:tc>
      </w:tr>
      <w:tr w14:paraId="16E3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1C857F7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Training (X_train)</w:t>
            </w:r>
          </w:p>
        </w:tc>
        <w:tc>
          <w:tcPr>
            <w:tcW w:w="3116" w:type="dxa"/>
          </w:tcPr>
          <w:p w14:paraId="03BA3F5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5,634</w:t>
            </w:r>
          </w:p>
        </w:tc>
        <w:tc>
          <w:tcPr>
            <w:tcW w:w="3116" w:type="dxa"/>
          </w:tcPr>
          <w:p w14:paraId="072C474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14:paraId="28FD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</w:tcPr>
          <w:p w14:paraId="011F268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Testing (X_test)</w:t>
            </w:r>
          </w:p>
        </w:tc>
        <w:tc>
          <w:tcPr>
            <w:tcW w:w="3116" w:type="dxa"/>
          </w:tcPr>
          <w:p w14:paraId="00E5994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1,409</w:t>
            </w:r>
          </w:p>
        </w:tc>
        <w:tc>
          <w:tcPr>
            <w:tcW w:w="3116" w:type="dxa"/>
          </w:tcPr>
          <w:p w14:paraId="22A66DB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36</w:t>
            </w:r>
          </w:p>
        </w:tc>
      </w:tr>
    </w:tbl>
    <w:p w14:paraId="07CE19A5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3. Baseline Model - Logistic Regression</w:t>
      </w:r>
    </w:p>
    <w:p w14:paraId="5BE07AFB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Logistic Regression was trained as the baseline classifier due to its simplicity and interpretability.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7E6D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shd w:val="clear" w:color="auto" w:fill="D9D9D9"/>
          </w:tcPr>
          <w:p w14:paraId="2AE075F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4675" w:type="dxa"/>
            <w:shd w:val="clear" w:color="auto" w:fill="D9D9D9"/>
          </w:tcPr>
          <w:p w14:paraId="7FEA7C8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Score</w:t>
            </w:r>
          </w:p>
        </w:tc>
      </w:tr>
      <w:tr w14:paraId="7765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6FC7938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4675" w:type="dxa"/>
          </w:tcPr>
          <w:p w14:paraId="778EEDC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0.7999</w:t>
            </w:r>
          </w:p>
        </w:tc>
      </w:tr>
      <w:tr w14:paraId="2A97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630D4F5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4675" w:type="dxa"/>
          </w:tcPr>
          <w:p w14:paraId="023F06A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0.6554</w:t>
            </w:r>
          </w:p>
        </w:tc>
      </w:tr>
      <w:tr w14:paraId="7A64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7122FD4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4675" w:type="dxa"/>
          </w:tcPr>
          <w:p w14:paraId="707A4EC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0.5187</w:t>
            </w:r>
          </w:p>
        </w:tc>
      </w:tr>
      <w:tr w14:paraId="7AA4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2A4968A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4675" w:type="dxa"/>
          </w:tcPr>
          <w:p w14:paraId="4F452D8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0.5791</w:t>
            </w:r>
          </w:p>
        </w:tc>
      </w:tr>
      <w:tr w14:paraId="528F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42E8AF8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4675" w:type="dxa"/>
          </w:tcPr>
          <w:p w14:paraId="0691D1A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0.8425</w:t>
            </w:r>
          </w:p>
        </w:tc>
      </w:tr>
    </w:tbl>
    <w:p w14:paraId="72FC2492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AE7385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 374 actual churners in the test set, the model correctly identified 194 (True Positives) but missed 180 (False Negatives), meaning roughly half of at-risk customers went undetected. 102 loyal customers were incorrectly flagged as churn risks (False Positives). The strong ROC-AUC of 0.8425 indicates good underlying ability to rank customers by risk, even though the default classification threshold leaves recall relatively low.</w:t>
      </w:r>
    </w:p>
    <w:p w14:paraId="1420CF60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4. Additional Models</w:t>
      </w:r>
    </w:p>
    <w:p w14:paraId="771063CE">
      <w:pPr>
        <w:pStyle w:val="3"/>
        <w:spacing w:before="2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Decision Tree Classifier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1C131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shd w:val="clear" w:color="auto" w:fill="D9D9D9"/>
          </w:tcPr>
          <w:p w14:paraId="032C0A8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4675" w:type="dxa"/>
            <w:shd w:val="clear" w:color="auto" w:fill="D9D9D9"/>
          </w:tcPr>
          <w:p w14:paraId="0C6C1BC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Score</w:t>
            </w:r>
          </w:p>
        </w:tc>
      </w:tr>
      <w:tr w14:paraId="7BA0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518D4D4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4675" w:type="dxa"/>
          </w:tcPr>
          <w:p w14:paraId="4C2D63A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0.7424</w:t>
            </w:r>
          </w:p>
        </w:tc>
      </w:tr>
      <w:tr w14:paraId="09FD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1EDA1F4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4675" w:type="dxa"/>
          </w:tcPr>
          <w:p w14:paraId="5C39C04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0.5155</w:t>
            </w:r>
          </w:p>
        </w:tc>
      </w:tr>
      <w:tr w14:paraId="4D22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4811C2A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4675" w:type="dxa"/>
          </w:tcPr>
          <w:p w14:paraId="5FB5B1F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0.4893</w:t>
            </w:r>
          </w:p>
        </w:tc>
      </w:tr>
      <w:tr w14:paraId="38EB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698CD16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4675" w:type="dxa"/>
          </w:tcPr>
          <w:p w14:paraId="6CA9C87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0.5021</w:t>
            </w:r>
          </w:p>
        </w:tc>
      </w:tr>
      <w:tr w14:paraId="285C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5D6F77A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4675" w:type="dxa"/>
          </w:tcPr>
          <w:p w14:paraId="04A06AA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0.6611</w:t>
            </w:r>
          </w:p>
        </w:tc>
      </w:tr>
    </w:tbl>
    <w:p w14:paraId="58E62FAB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A8ECDF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Decision Tree performed the weakest of the three models across nearly every metric, including a notably low ROC-AUC of 0.661, only marginally better than random guessing. This is consistent with a single,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pruned</w:t>
      </w:r>
      <w:r>
        <w:rPr>
          <w:rFonts w:hint="default" w:ascii="Times New Roman" w:hAnsi="Times New Roman" w:cs="Times New Roman"/>
          <w:sz w:val="24"/>
          <w:szCs w:val="24"/>
        </w:rPr>
        <w:t xml:space="preserve"> decision tree overfitting to noise in the training data rather than learning generalizable patterns.</w:t>
      </w:r>
    </w:p>
    <w:p w14:paraId="3F47F07F">
      <w:pPr>
        <w:pStyle w:val="3"/>
        <w:spacing w:before="2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Random Forest Classifier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0BB8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shd w:val="clear" w:color="auto" w:fill="D9D9D9"/>
          </w:tcPr>
          <w:p w14:paraId="6BAA497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4675" w:type="dxa"/>
            <w:shd w:val="clear" w:color="auto" w:fill="D9D9D9"/>
          </w:tcPr>
          <w:p w14:paraId="047B55D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Score</w:t>
            </w:r>
          </w:p>
        </w:tc>
      </w:tr>
      <w:tr w14:paraId="3598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1198761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4675" w:type="dxa"/>
          </w:tcPr>
          <w:p w14:paraId="3EA4BC7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0.7857</w:t>
            </w:r>
          </w:p>
        </w:tc>
      </w:tr>
      <w:tr w14:paraId="7C35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0E348DD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4675" w:type="dxa"/>
          </w:tcPr>
          <w:p w14:paraId="580A86E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0.6216</w:t>
            </w:r>
          </w:p>
        </w:tc>
      </w:tr>
      <w:tr w14:paraId="4E4B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6B2B953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4675" w:type="dxa"/>
          </w:tcPr>
          <w:p w14:paraId="42CABE6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0.4920</w:t>
            </w:r>
          </w:p>
        </w:tc>
      </w:tr>
      <w:tr w14:paraId="7D6B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69A2AD6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4675" w:type="dxa"/>
          </w:tcPr>
          <w:p w14:paraId="54C534B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0.5493</w:t>
            </w:r>
          </w:p>
        </w:tc>
      </w:tr>
      <w:tr w14:paraId="5B49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</w:tcPr>
          <w:p w14:paraId="5E4DDFA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4675" w:type="dxa"/>
          </w:tcPr>
          <w:p w14:paraId="7FBFB5B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0.8219</w:t>
            </w:r>
          </w:p>
        </w:tc>
      </w:tr>
    </w:tbl>
    <w:p w14:paraId="6DA43F70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05D30A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Forest improved substantially on the single Decision Tree, with a ROC-AUC of 0.822, close to Logistic Regression's 0.843, by averaging across many trees to reduce overfitting. However, it still trailed Logistic Regression on accuracy, precision, and F1-score at default (untuned) settings.</w:t>
      </w:r>
    </w:p>
    <w:p w14:paraId="411AC9A6">
      <w:pPr>
        <w:spacing w:before="1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334000" cy="3305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3A662C">
      <w:pPr>
        <w:spacing w:after="3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Figure 1: Confusion matrices for all three models</w:t>
      </w:r>
    </w:p>
    <w:p w14:paraId="646D79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1A89B1C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5. Model Comparison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8"/>
        <w:gridCol w:w="1558"/>
        <w:gridCol w:w="1558"/>
        <w:gridCol w:w="1558"/>
        <w:gridCol w:w="1559"/>
        <w:gridCol w:w="1559"/>
      </w:tblGrid>
      <w:tr w14:paraId="12977FB5">
        <w:tc>
          <w:tcPr>
            <w:tcW w:w="1558" w:type="dxa"/>
            <w:shd w:val="clear" w:color="auto" w:fill="D9D9D9"/>
          </w:tcPr>
          <w:p w14:paraId="5BA4254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558" w:type="dxa"/>
            <w:shd w:val="clear" w:color="auto" w:fill="D9D9D9"/>
          </w:tcPr>
          <w:p w14:paraId="32CCD38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1558" w:type="dxa"/>
            <w:shd w:val="clear" w:color="auto" w:fill="D9D9D9"/>
          </w:tcPr>
          <w:p w14:paraId="3985F8F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1558" w:type="dxa"/>
            <w:shd w:val="clear" w:color="auto" w:fill="D9D9D9"/>
          </w:tcPr>
          <w:p w14:paraId="163DD47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1558" w:type="dxa"/>
            <w:shd w:val="clear" w:color="auto" w:fill="D9D9D9"/>
          </w:tcPr>
          <w:p w14:paraId="4A4C7AB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1558" w:type="dxa"/>
            <w:shd w:val="clear" w:color="auto" w:fill="D9D9D9"/>
          </w:tcPr>
          <w:p w14:paraId="416FD1E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ROC-AUC</w:t>
            </w:r>
          </w:p>
        </w:tc>
      </w:tr>
      <w:tr w14:paraId="4E2E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8" w:type="dxa"/>
          </w:tcPr>
          <w:p w14:paraId="4A3E8D5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558" w:type="dxa"/>
          </w:tcPr>
          <w:p w14:paraId="1E639C1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0.7999</w:t>
            </w:r>
          </w:p>
        </w:tc>
        <w:tc>
          <w:tcPr>
            <w:tcW w:w="1558" w:type="dxa"/>
          </w:tcPr>
          <w:p w14:paraId="4BFEF28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0.6554</w:t>
            </w:r>
          </w:p>
        </w:tc>
        <w:tc>
          <w:tcPr>
            <w:tcW w:w="1558" w:type="dxa"/>
          </w:tcPr>
          <w:p w14:paraId="346BE7F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0.5187</w:t>
            </w:r>
          </w:p>
        </w:tc>
        <w:tc>
          <w:tcPr>
            <w:tcW w:w="1558" w:type="dxa"/>
          </w:tcPr>
          <w:p w14:paraId="0794FBF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0.5791</w:t>
            </w:r>
          </w:p>
        </w:tc>
        <w:tc>
          <w:tcPr>
            <w:tcW w:w="1558" w:type="dxa"/>
          </w:tcPr>
          <w:p w14:paraId="103B210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0.8425</w:t>
            </w:r>
          </w:p>
        </w:tc>
      </w:tr>
      <w:tr w14:paraId="5FAF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8" w:type="dxa"/>
          </w:tcPr>
          <w:p w14:paraId="5713FB0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558" w:type="dxa"/>
          </w:tcPr>
          <w:p w14:paraId="6AA268A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0.7424</w:t>
            </w:r>
          </w:p>
        </w:tc>
        <w:tc>
          <w:tcPr>
            <w:tcW w:w="1558" w:type="dxa"/>
          </w:tcPr>
          <w:p w14:paraId="0D3016B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0.5155</w:t>
            </w:r>
          </w:p>
        </w:tc>
        <w:tc>
          <w:tcPr>
            <w:tcW w:w="1558" w:type="dxa"/>
          </w:tcPr>
          <w:p w14:paraId="7DFC0A4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0.4893</w:t>
            </w:r>
          </w:p>
        </w:tc>
        <w:tc>
          <w:tcPr>
            <w:tcW w:w="1558" w:type="dxa"/>
          </w:tcPr>
          <w:p w14:paraId="77B885B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0.5021</w:t>
            </w:r>
          </w:p>
        </w:tc>
        <w:tc>
          <w:tcPr>
            <w:tcW w:w="1558" w:type="dxa"/>
          </w:tcPr>
          <w:p w14:paraId="50B024A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0.6611</w:t>
            </w:r>
          </w:p>
        </w:tc>
      </w:tr>
      <w:tr w14:paraId="21BE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8" w:type="dxa"/>
          </w:tcPr>
          <w:p w14:paraId="7FA1971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558" w:type="dxa"/>
          </w:tcPr>
          <w:p w14:paraId="770CE94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0.7857</w:t>
            </w:r>
          </w:p>
        </w:tc>
        <w:tc>
          <w:tcPr>
            <w:tcW w:w="1558" w:type="dxa"/>
          </w:tcPr>
          <w:p w14:paraId="27C4B3A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0.6216</w:t>
            </w:r>
          </w:p>
        </w:tc>
        <w:tc>
          <w:tcPr>
            <w:tcW w:w="1558" w:type="dxa"/>
          </w:tcPr>
          <w:p w14:paraId="3798695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0.4920</w:t>
            </w:r>
          </w:p>
        </w:tc>
        <w:tc>
          <w:tcPr>
            <w:tcW w:w="1558" w:type="dxa"/>
          </w:tcPr>
          <w:p w14:paraId="423B616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0.5493</w:t>
            </w:r>
          </w:p>
        </w:tc>
        <w:tc>
          <w:tcPr>
            <w:tcW w:w="1558" w:type="dxa"/>
          </w:tcPr>
          <w:p w14:paraId="00C863C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0.8219</w:t>
            </w:r>
          </w:p>
        </w:tc>
      </w:tr>
    </w:tbl>
    <w:p w14:paraId="295FE046">
      <w:pPr>
        <w:spacing w:before="1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81500" cy="271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618A">
      <w:pPr>
        <w:spacing w:after="3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Figure 2: Model comparison across all five evaluation metrics</w:t>
      </w:r>
    </w:p>
    <w:p w14:paraId="1D77C94F">
      <w:pPr>
        <w:spacing w:before="1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238500" cy="2009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540">
      <w:pPr>
        <w:spacing w:after="3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Figure 3: ROC curves for all three models</w:t>
      </w:r>
    </w:p>
    <w:p w14:paraId="4FA6AE82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6. Initial Model Selection</w:t>
      </w:r>
    </w:p>
    <w:p w14:paraId="31AE6D0A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Logistic Regression currently performs best across accuracy (79.99%), precision (65.54%), F1-score (0.579), and ROC-AUC (0.843), despite being the simplest of the three models tested, a useful reminder not to assume more complex models automatically outperform simpler ones. Random Forest is a close second on ROC-AUC (0.822) but trails on other metrics at default settings. Decision Tree performs weakest across the board, likely due to overfitting on the training data.</w:t>
      </w:r>
    </w:p>
    <w:p w14:paraId="66BAFFDE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Recall remains a shared weakness across all three models (49-52%), meaning roughly half of actual churners go undetected regardless of model choice. Given the business cost of missing an at-risk customer (a lost customer) versus the cost of a false alarm (a wasted retention offer), improving recall on the churn class, without excessively sacrificing precision, is the primary target for Week 4. Logistic Regression's strong ROC-AUC of 0.843 suggests the underlying model already discriminates well between classes; the main opportunity lies in addressing class imbalance (via class weighting or resampling) and tuning the decision threshold or hyperparameters, rather than needing a fundamentally different modeling approach.</w:t>
      </w:r>
    </w:p>
    <w:p w14:paraId="524B54F0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Preliminary selection: Logistic Regression, to be re-evaluated after imbalance handling and hyperparameter tuning in Week 4.</w:t>
      </w:r>
    </w:p>
    <w:p w14:paraId="1C108EF9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C2E95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8B7E9">
    <w:pP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963B1"/>
    <w:rsid w:val="2CA9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2026-09-27T09:01:00Z</dcterms:created>
  <dc:creator>gloria boateng</dc:creator>
  <cp:lastModifiedBy>gloria boateng</cp:lastModifiedBy>
  <dcterms:modified xsi:type="dcterms:W3CDTF">2026-09-27T09:07:34Z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446C115A85E4472EB65515FFBC5BF0B0_11</vt:lpwstr>
  </property>
  <property fmtid="{D5CDD505-2E9C-101B-9397-08002B2CF9AE}" pid="4" name="KSOTemplateDocerSaveRecord">
    <vt:lpwstr>eyJoZGlkIjoiOTVkMGUzMGQ5MzRjNThlZmE1OGRlYzU5N2Y5NWZjOGUiLCJ1c2VySWQiOiIxNjY2NTEzOTUwODM5In0=</vt:lpwstr>
  </property>
</Properties>
</file>