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46941">
      <w:pPr>
        <w:spacing w:before="100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B66EDB5">
      <w:pPr>
        <w:spacing w:after="20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000000"/>
          <w:sz w:val="32"/>
          <w:szCs w:val="32"/>
        </w:rPr>
        <w:t>Customer Churn Prediction</w:t>
      </w:r>
    </w:p>
    <w:p w14:paraId="2697E5BE">
      <w:pPr>
        <w:spacing w:after="600"/>
        <w:jc w:val="center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>Final Capstone Report</w:t>
      </w:r>
      <w:bookmarkStart w:id="0" w:name="_GoBack"/>
      <w:bookmarkEnd w:id="0"/>
    </w:p>
    <w:p w14:paraId="456CD86D">
      <w:pPr>
        <w:spacing w:after="100"/>
        <w:jc w:val="center"/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2"/>
          <w:szCs w:val="32"/>
        </w:rPr>
        <w:t>NexAfrica Machine Learning Internship - 5 Week Program</w:t>
      </w:r>
    </w:p>
    <w:p w14:paraId="4AE2ADDF">
      <w:pPr>
        <w:jc w:val="center"/>
        <w:rPr>
          <w:rFonts w:hint="default" w:ascii="Times New Roman" w:hAnsi="Times New Roman" w:cs="Times New Roman"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color w:val="000000"/>
          <w:sz w:val="32"/>
          <w:szCs w:val="32"/>
        </w:rPr>
        <w:t xml:space="preserve">Prepared by: </w:t>
      </w:r>
      <w:r>
        <w:rPr>
          <w:rFonts w:hint="default" w:ascii="Times New Roman" w:hAnsi="Times New Roman" w:cs="Times New Roman"/>
          <w:color w:val="000000"/>
          <w:sz w:val="32"/>
          <w:szCs w:val="32"/>
          <w:lang w:val="en-GB"/>
        </w:rPr>
        <w:t>GLORIA BOATENG</w:t>
      </w:r>
    </w:p>
    <w:p w14:paraId="570C42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7CD90343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Executive Summary</w:t>
      </w:r>
    </w:p>
    <w:p w14:paraId="128F9353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This project developed a binary classification model to predict customer churn for a telecommunications provider, using the Telco Customer Churn dataset (7,043 customers, 21 original features). Across five weeks, the project moved from raw data to a tuned, production-ready Random Forest model achieving 77.3% recall on the churn class, a substantial improvement over the 49-52% recall of initial baseline models. Six churn drivers were identified and validated both through exploratory analysis and independently confirmed by the final model's feature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GB"/>
        </w:rPr>
        <w:t>importance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>. Six actionable business recommendations are provided, each tied to a specific, quantified finding.</w:t>
      </w:r>
    </w:p>
    <w:p w14:paraId="7142C2B9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1. Business Understanding</w:t>
      </w:r>
    </w:p>
    <w:p w14:paraId="3C875294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Customer churn refers to a subscriber discontinuing their relationship with a service provider, cancelling a line, letting a subscription go inactive, or switching to a competing network. In a competitive telecom market, retaining existing customers is significantly cheaper than acquiring new ones, particularly since high-usage customers are often the first to leave for a better deal elsewhere. Beyond its direct revenue impact, churn also functions as a diagnostic signal for underlying issues such as poor network quality, weak customer service, or uncompetitive pricing.</w:t>
      </w:r>
    </w:p>
    <w:p w14:paraId="46016AF9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This project builds a binary classification model that takes customer-level data (usage, tenure, billing, contract, and service details) as input and predicts whether a customer is likely to churn, with an associated probability score for risk-based prioritization. This allows a company to proactively target at-risk customers with retention offers rather than reacting only after a customer has already left.</w:t>
      </w:r>
    </w:p>
    <w:p w14:paraId="71F5AA4F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2. Data Understanding and Preparation</w:t>
      </w:r>
    </w:p>
    <w:p w14:paraId="3A2DE4C5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The dataset contains 7,043 customer records and 21 columns, with Churn as the binary target variable (73.46% No, 26.54% Yes). Data cleaning addressed three issues: whitespace in column names, a text-formatted TotalCharges column requiring numeric conversion, and 11 missing TotalCharges values corresponding to new customers with zero tenure (filled with 0, since a customer with no tenure has logically accrued no charges). No duplicate rows or duplicate customer IDs were found, and all categorical values were confirmed clean and consistent.</w:t>
      </w:r>
    </w:p>
    <w:p w14:paraId="7DD9C8C5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3. Exploratory Data Analysis - Key Churn Drivers</w:t>
      </w:r>
    </w:p>
    <w:p w14:paraId="2F9C404F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Six insights were identified and validated through the data:</w:t>
      </w:r>
    </w:p>
    <w:p w14:paraId="43EBAEED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1. Contract type: Month-to-month customers churn at 42.7%, versus 11.3% (one-year) and 2.8% (two-year), a roughly 15x difference.</w:t>
      </w:r>
    </w:p>
    <w:p w14:paraId="4EC2E668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2. Tenure: Churned customers had an average tenure of 18.0 months, versus 37.6 months for retained customers.</w:t>
      </w:r>
    </w:p>
    <w:p w14:paraId="5DFEB9CE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3. Monthly charges: Churned customers paid an average of $74.44/month, versus $61.27/month for retained customers.</w:t>
      </w:r>
    </w:p>
    <w:p w14:paraId="7BABFAC6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4. Internet service type: Fiber optic customers churn at 41.9%, versus 19.0% (DSL) and 7.4% (no internet).</w:t>
      </w:r>
    </w:p>
    <w:p w14:paraId="316A3CEF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5. Payment method: Electronic check customers churn at 45.3%, roughly 3x the rate of automatic payment methods (15-19%).</w:t>
      </w:r>
    </w:p>
    <w:p w14:paraId="12D1CC99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6. Senior citizen status: Senior citizens churn at 41.7%, nearly double the rate of non-seniors (23.6%). Gender showed no meaningful effect (26.9% vs 26.2%).</w:t>
      </w:r>
    </w:p>
    <w:p w14:paraId="7FA773EA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4. Feature Engineering</w:t>
      </w:r>
    </w:p>
    <w:p w14:paraId="08518764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Three features were engineered based on the above findings:</w:t>
      </w:r>
    </w:p>
    <w:p w14:paraId="4887D9D6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TenureGroup: bucketed tenure into 0-1, 1-2, 2-4, and 4+ year ranges. Churn dropped consistently across groups: 47.4% to 28.7% to 20.4% to 9.5%.</w:t>
      </w:r>
    </w:p>
    <w:p w14:paraId="23B5FB13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NumServices: count of subscribed add-on services (0-8). Churn was highest at 0 services (43.8%) and lowest at 7-8 services (12.4%, 5.3%), reflecting the retentive effect of deep service adoption.</w:t>
      </w:r>
    </w:p>
    <w:p w14:paraId="66BFAF60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SpendingTier: MonthlyCharges split into Low/Medium/High tiers. Churn increased monotonically: 15.9% to 29.7% to 34.1%.</w:t>
      </w:r>
    </w:p>
    <w:p w14:paraId="21E0337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59C84BD6">
      <w:pPr>
        <w:pStyle w:val="2"/>
        <w:spacing w:before="300" w:after="150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/>
          <w:sz w:val="24"/>
          <w:szCs w:val="24"/>
        </w:rPr>
        <w:t>5. Model Development and Optimization</w:t>
      </w:r>
    </w:p>
    <w:p w14:paraId="6271BE9A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Three classification models were trained and evaluated: Logistic Regression (baseline), Decision Tree, and Random Forest. Logistic Regression performed best among untuned baselines (ROC-AUC 0.843), while Decision Tree performed weakest (ROC-AUC 0.661), likely due to overfitting.</w:t>
      </w:r>
    </w:p>
    <w:p w14:paraId="6AA313D4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All three baseline models shared a common weakness: recall of only 49-52%, meaning roughly half of actual churners went undetected. This was addressed in two stages:</w:t>
      </w:r>
    </w:p>
    <w:p w14:paraId="43BE4E56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Imbalance handling: class weighting (class_weight='balanced') and SMOTE oversampling were tested on Logistic Regression. Class weighting achieved the strongest result (79.1% recall, F1 of 0.614) while preserving ROC-AUC.</w:t>
      </w:r>
    </w:p>
    <w:p w14:paraId="0E8E642F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Hyperparameter tuning: GridSearchCV was used to tune Random Forest (n_estimators=200, max_depth=10, min_samples_split=5, class_weight='balanced'), optimizing directly for recall.</w:t>
      </w:r>
    </w:p>
    <w:p w14:paraId="2A14480B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5-fold stratified cross-validation confirmed the stability of the class-weighted model's performance (recall: 79.4% mean, 3.6% standard deviation across folds).</w:t>
      </w:r>
    </w:p>
    <w:p w14:paraId="2A8E98C4">
      <w:pPr>
        <w:pStyle w:val="3"/>
        <w:spacing w:before="2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Final Model Comparison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870"/>
        <w:gridCol w:w="1870"/>
        <w:gridCol w:w="1870"/>
        <w:gridCol w:w="1870"/>
      </w:tblGrid>
      <w:tr w14:paraId="21A46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0" w:type="dxa"/>
            <w:shd w:val="clear" w:color="auto" w:fill="D9D9D9"/>
          </w:tcPr>
          <w:p w14:paraId="04231FE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1870" w:type="dxa"/>
            <w:shd w:val="clear" w:color="auto" w:fill="D9D9D9"/>
          </w:tcPr>
          <w:p w14:paraId="6A6E0A2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Precision</w:t>
            </w:r>
          </w:p>
        </w:tc>
        <w:tc>
          <w:tcPr>
            <w:tcW w:w="1870" w:type="dxa"/>
            <w:shd w:val="clear" w:color="auto" w:fill="D9D9D9"/>
          </w:tcPr>
          <w:p w14:paraId="20DBC7C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Recall</w:t>
            </w:r>
          </w:p>
        </w:tc>
        <w:tc>
          <w:tcPr>
            <w:tcW w:w="1870" w:type="dxa"/>
            <w:shd w:val="clear" w:color="auto" w:fill="D9D9D9"/>
          </w:tcPr>
          <w:p w14:paraId="4BF29A2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F1-Score</w:t>
            </w:r>
          </w:p>
        </w:tc>
        <w:tc>
          <w:tcPr>
            <w:tcW w:w="1870" w:type="dxa"/>
            <w:shd w:val="clear" w:color="auto" w:fill="D9D9D9"/>
          </w:tcPr>
          <w:p w14:paraId="3C4EED3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ROC-AUC</w:t>
            </w:r>
          </w:p>
        </w:tc>
      </w:tr>
      <w:tr w14:paraId="08527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673BB44B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LR Baseline</w:t>
            </w:r>
          </w:p>
        </w:tc>
        <w:tc>
          <w:tcPr>
            <w:tcW w:w="1870" w:type="dxa"/>
          </w:tcPr>
          <w:p w14:paraId="3BEE3EF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0.6554</w:t>
            </w:r>
          </w:p>
        </w:tc>
        <w:tc>
          <w:tcPr>
            <w:tcW w:w="1870" w:type="dxa"/>
          </w:tcPr>
          <w:p w14:paraId="6979996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0.5187</w:t>
            </w:r>
          </w:p>
        </w:tc>
        <w:tc>
          <w:tcPr>
            <w:tcW w:w="1870" w:type="dxa"/>
          </w:tcPr>
          <w:p w14:paraId="59A75E3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0.5791</w:t>
            </w:r>
          </w:p>
        </w:tc>
        <w:tc>
          <w:tcPr>
            <w:tcW w:w="1870" w:type="dxa"/>
          </w:tcPr>
          <w:p w14:paraId="232AFAC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0.8425</w:t>
            </w:r>
          </w:p>
        </w:tc>
      </w:tr>
      <w:tr w14:paraId="04C7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780DA43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LR Class-Weighted</w:t>
            </w:r>
          </w:p>
        </w:tc>
        <w:tc>
          <w:tcPr>
            <w:tcW w:w="1870" w:type="dxa"/>
          </w:tcPr>
          <w:p w14:paraId="18E3D44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0.5008</w:t>
            </w:r>
          </w:p>
        </w:tc>
        <w:tc>
          <w:tcPr>
            <w:tcW w:w="1870" w:type="dxa"/>
          </w:tcPr>
          <w:p w14:paraId="0859FE0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0.7914</w:t>
            </w:r>
          </w:p>
        </w:tc>
        <w:tc>
          <w:tcPr>
            <w:tcW w:w="1870" w:type="dxa"/>
          </w:tcPr>
          <w:p w14:paraId="11BC65A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0.6135</w:t>
            </w:r>
          </w:p>
        </w:tc>
        <w:tc>
          <w:tcPr>
            <w:tcW w:w="1870" w:type="dxa"/>
          </w:tcPr>
          <w:p w14:paraId="2E97960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0.8421</w:t>
            </w:r>
          </w:p>
        </w:tc>
      </w:tr>
      <w:tr w14:paraId="57B7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6B321CC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LR SMOTE</w:t>
            </w:r>
          </w:p>
        </w:tc>
        <w:tc>
          <w:tcPr>
            <w:tcW w:w="1870" w:type="dxa"/>
          </w:tcPr>
          <w:p w14:paraId="7C0D972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0.5377</w:t>
            </w:r>
          </w:p>
        </w:tc>
        <w:tc>
          <w:tcPr>
            <w:tcW w:w="1870" w:type="dxa"/>
          </w:tcPr>
          <w:p w14:paraId="7DD8ED2A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0.6872</w:t>
            </w:r>
          </w:p>
        </w:tc>
        <w:tc>
          <w:tcPr>
            <w:tcW w:w="1870" w:type="dxa"/>
          </w:tcPr>
          <w:p w14:paraId="291E0B3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0.6033</w:t>
            </w:r>
          </w:p>
        </w:tc>
        <w:tc>
          <w:tcPr>
            <w:tcW w:w="1870" w:type="dxa"/>
          </w:tcPr>
          <w:p w14:paraId="6027F9E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0.8283</w:t>
            </w:r>
          </w:p>
        </w:tc>
      </w:tr>
      <w:tr w14:paraId="520CF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148330C7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RF Baseline</w:t>
            </w:r>
          </w:p>
        </w:tc>
        <w:tc>
          <w:tcPr>
            <w:tcW w:w="1870" w:type="dxa"/>
          </w:tcPr>
          <w:p w14:paraId="2FEA28D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0.6216</w:t>
            </w:r>
          </w:p>
        </w:tc>
        <w:tc>
          <w:tcPr>
            <w:tcW w:w="1870" w:type="dxa"/>
          </w:tcPr>
          <w:p w14:paraId="7014FB9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0.4920</w:t>
            </w:r>
          </w:p>
        </w:tc>
        <w:tc>
          <w:tcPr>
            <w:tcW w:w="1870" w:type="dxa"/>
          </w:tcPr>
          <w:p w14:paraId="749D4A8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0.5493</w:t>
            </w:r>
          </w:p>
        </w:tc>
        <w:tc>
          <w:tcPr>
            <w:tcW w:w="1870" w:type="dxa"/>
          </w:tcPr>
          <w:p w14:paraId="69A8D7B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0.8219</w:t>
            </w:r>
          </w:p>
        </w:tc>
      </w:tr>
      <w:tr w14:paraId="07987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0ED25B2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RF Class-Weighted</w:t>
            </w:r>
          </w:p>
        </w:tc>
        <w:tc>
          <w:tcPr>
            <w:tcW w:w="1870" w:type="dxa"/>
          </w:tcPr>
          <w:p w14:paraId="3F66447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0.5381</w:t>
            </w:r>
          </w:p>
        </w:tc>
        <w:tc>
          <w:tcPr>
            <w:tcW w:w="1870" w:type="dxa"/>
          </w:tcPr>
          <w:p w14:paraId="34B9D77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0.6417</w:t>
            </w:r>
          </w:p>
        </w:tc>
        <w:tc>
          <w:tcPr>
            <w:tcW w:w="1870" w:type="dxa"/>
          </w:tcPr>
          <w:p w14:paraId="595A3E2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0.5854</w:t>
            </w:r>
          </w:p>
        </w:tc>
        <w:tc>
          <w:tcPr>
            <w:tcW w:w="1870" w:type="dxa"/>
          </w:tcPr>
          <w:p w14:paraId="0CFF398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0.8196</w:t>
            </w:r>
          </w:p>
        </w:tc>
      </w:tr>
      <w:tr w14:paraId="5D748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0" w:type="dxa"/>
          </w:tcPr>
          <w:p w14:paraId="34A126B6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RF Tuned (Final)</w:t>
            </w:r>
          </w:p>
        </w:tc>
        <w:tc>
          <w:tcPr>
            <w:tcW w:w="1870" w:type="dxa"/>
          </w:tcPr>
          <w:p w14:paraId="1E08B08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0.5303</w:t>
            </w:r>
          </w:p>
        </w:tc>
        <w:tc>
          <w:tcPr>
            <w:tcW w:w="1870" w:type="dxa"/>
          </w:tcPr>
          <w:p w14:paraId="7142306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0.7727</w:t>
            </w:r>
          </w:p>
        </w:tc>
        <w:tc>
          <w:tcPr>
            <w:tcW w:w="1870" w:type="dxa"/>
          </w:tcPr>
          <w:p w14:paraId="035288D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0.6289</w:t>
            </w:r>
          </w:p>
        </w:tc>
        <w:tc>
          <w:tcPr>
            <w:tcW w:w="1870" w:type="dxa"/>
          </w:tcPr>
          <w:p w14:paraId="117116A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4"/>
                <w:szCs w:val="24"/>
              </w:rPr>
              <w:t>0.8423</w:t>
            </w:r>
          </w:p>
        </w:tc>
      </w:tr>
    </w:tbl>
    <w:p w14:paraId="7F1FAC3B">
      <w:pPr>
        <w:spacing w:before="1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000500" cy="2724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5FC2">
      <w:pPr>
        <w:spacing w:after="3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Figure 1: Recall improvement across the project, from Week 3 baselines to the final tuned model</w:t>
      </w:r>
    </w:p>
    <w:p w14:paraId="6EA3A078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6. Final Model Evaluation</w:t>
      </w:r>
    </w:p>
    <w:p w14:paraId="6026DA29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The tuned Random Forest was selected as the final model, achieving the highest F1-score of any configuration tested (0.629), recall of 77.3%, and ROC-AUC of 0.842.</w:t>
      </w:r>
    </w:p>
    <w:p w14:paraId="5E3A8790">
      <w:pPr>
        <w:spacing w:before="1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3238500" cy="2200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275E">
      <w:pPr>
        <w:spacing w:after="30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Figure 2: Final model confusion matrix</w:t>
      </w:r>
    </w:p>
    <w:p w14:paraId="270BE9AA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Accuracy (75.8%): the model correctly classifies about 76 of every 100 customers.</w:t>
      </w:r>
    </w:p>
    <w:p w14:paraId="42550931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Precision (53.0%): when the model flags a customer as a churn risk, it is correct about half the time; the cost of a false alarm is a low-value retention offer.</w:t>
      </w:r>
    </w:p>
    <w:p w14:paraId="4F4AD1C4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Recall (77.3%): the model correctly identifies about 3 in 4 customers who actually churn, the most business-critical metric, since a missed churner represents fully lost revenue.</w:t>
      </w:r>
    </w:p>
    <w:p w14:paraId="0A52DE51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ROC-AUC (0.842): strong discriminative ability across all decision thresholds.</w:t>
      </w:r>
    </w:p>
    <w:p w14:paraId="682297D8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7. Feature Importance</w:t>
      </w:r>
    </w:p>
    <w:p w14:paraId="23FCA35F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The final model's feature </w:t>
      </w:r>
      <w:r>
        <w:rPr>
          <w:rFonts w:hint="default" w:ascii="Times New Roman" w:hAnsi="Times New Roman" w:cs="Times New Roman"/>
          <w:color w:val="000000"/>
          <w:sz w:val="24"/>
          <w:szCs w:val="24"/>
          <w:lang w:val="en-GB"/>
        </w:rPr>
        <w:t>importance</w:t>
      </w:r>
      <w:r>
        <w:rPr>
          <w:rFonts w:hint="default" w:ascii="Times New Roman" w:hAnsi="Times New Roman" w:cs="Times New Roman"/>
          <w:color w:val="000000"/>
          <w:sz w:val="24"/>
          <w:szCs w:val="24"/>
        </w:rPr>
        <w:t xml:space="preserve"> closely matched the six insights identified independently through exploratory analysis in Week 2, providing strong evidence that the manual analysis was sound.</w:t>
      </w:r>
    </w:p>
    <w:p w14:paraId="4899BEEC">
      <w:pPr>
        <w:spacing w:before="100"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381500" cy="29813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FEE5">
      <w:pPr>
        <w:spacing w:after="30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</w:rPr>
        <w:t>Figure 3: Top 12 features by importance, tuned Random Forest</w:t>
      </w:r>
    </w:p>
    <w:p w14:paraId="002BF2F3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tenure (16.0%), TotalCharges (11.5%), Contract_Two year (10.3%), MonthlyCharges (9.2%), and InternetService_Fiber optic (6.9%) were the five most important features, directly corresponding to Insights 1 through 4 from the EDA phase.</w:t>
      </w:r>
    </w:p>
    <w:p w14:paraId="7950FF4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br w:type="page"/>
      </w:r>
    </w:p>
    <w:p w14:paraId="3599DE48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8. Model Error Analysis</w:t>
      </w:r>
    </w:p>
    <w:p w14:paraId="035176FC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False negatives (85 customers, 22.7% of actual churners) were disproportionately borderline: 75% had a predicted churn probability below 0.44, with a maximum of 0.4999, just under the 0.50 decision threshold. These churners did not display the short-tenure warning signs the model relies on most heavily, making them inherently harder to detect.</w:t>
      </w:r>
    </w:p>
    <w:p w14:paraId="15B168D3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False positives (256 customers) showed high average predicted probability (0.681) and skewed toward newer, higher-paying customers, matching the general at-risk profile without actually churning. This is a lower-cost error, a retention offer sent to a loyal customer is a minor, recoverable expense compared to losing a customer outright.</w:t>
      </w:r>
    </w:p>
    <w:p w14:paraId="55EAD4A5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Business implication: since many false negatives sit just below the decision threshold, lowering the classification cutoff (e.g., from 0.50 to 0.40) is a tunable lever that could catch more at-risk customers at the cost of accepting more low-cost false alarms.</w:t>
      </w:r>
    </w:p>
    <w:p w14:paraId="5AFDE113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9. Business Recommendations</w:t>
      </w:r>
    </w:p>
    <w:p w14:paraId="329ED663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1. Incentivize migration off month-to-month contracts. Offer a discount or free add-on for switching to a one- or two-year contract, particularly for customers already flagged as high-risk by the model.</w:t>
      </w:r>
    </w:p>
    <w:p w14:paraId="1F954040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2. Create a dedicated onboarding and retention program for a customer's first 12 months, with structured check-ins at 3, 6, and 9 months, since tenure is the single strongest churn predictor.</w:t>
      </w:r>
    </w:p>
    <w:p w14:paraId="19E0DBDA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3. Investigate fiber optic service quality and pricing directly, via a targeted customer satisfaction survey, given fiber customers churn at nearly double the DSL rate despite being the premium product.</w:t>
      </w:r>
    </w:p>
    <w:p w14:paraId="53F2CFC8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4. Incentivize a shift from electronic check to automatic payment methods (e.g., a one-time bill credit), since electronic check users churn at roughly 3x the rate of automatic payment users.</w:t>
      </w:r>
    </w:p>
    <w:p w14:paraId="54D124F4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5. Deploy the model with a lowered decision threshold (e.g., 0.40) for retention outreach, to catch more borderline at-risk customers, since the low cost of a false alarm justifies accepting more of them.</w:t>
      </w:r>
    </w:p>
    <w:p w14:paraId="7DBF7419">
      <w:pPr>
        <w:spacing w:after="12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6. Prioritize senior citizens in retention campaigns, via a dedicated support line or simplified plan options, since this segment churns at nearly double the rate of non-seniors despite being a smaller share of the customer base.</w:t>
      </w:r>
    </w:p>
    <w:p w14:paraId="1665B3C9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10. Limitations and Future Improvements</w:t>
      </w:r>
    </w:p>
    <w:p w14:paraId="1B7DF78D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The dataset represents a single snapshot in time; a longitudinal dataset tracking customers over multiple periods could capture behavior changes leading up to churn, rather than a single point-in-time profile.</w:t>
      </w:r>
    </w:p>
    <w:p w14:paraId="1F2C2D0D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Precision remains moderate (53.0%); further threshold tuning or cost-sensitive learning could better balance false positives against the specific retention budget available to the business.</w:t>
      </w:r>
    </w:p>
    <w:p w14:paraId="517339BB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Additional models (e.g., XGBoost, gradient boosting) were not tested in this iteration and could be explored for further performance gains.</w:t>
      </w:r>
    </w:p>
    <w:p w14:paraId="427381D9">
      <w:pPr>
        <w:pStyle w:val="16"/>
        <w:numPr>
          <w:ilvl w:val="0"/>
          <w:numId w:val="1"/>
        </w:numPr>
        <w:spacing w:after="10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The model does not incorporate external factors such as competitor pricing changes or regional network quality data, which likely influence churn but were not present in this dataset.</w:t>
      </w:r>
    </w:p>
    <w:p w14:paraId="651DE289">
      <w:pPr>
        <w:pStyle w:val="2"/>
        <w:spacing w:before="300"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11. Conclusion</w:t>
      </w:r>
    </w:p>
    <w:p w14:paraId="165CA143">
      <w:pPr>
        <w:spacing w:after="15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00"/>
          <w:sz w:val="24"/>
          <w:szCs w:val="24"/>
        </w:rPr>
        <w:t>This project successfully developed an end-to-end machine learning workflow for customer churn prediction, from raw data cleaning through a tuned, validated final model. The final Random Forest model catches 77.3% of actual churners, a substantial improvement over the 49-52% recall of initial baseline models, while maintaining strong overall discriminative ability (ROC-AUC 0.842). Combined with the six validated business recommendations, this project provides a practical foundation a telecom company could use to reduce revenue loss from customer churn.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984470">
    <w:pPr>
      <w:jc w:val="center"/>
    </w:pPr>
    <w:r>
      <w:rPr>
        <w:color w:val="000000"/>
        <w:sz w:val="18"/>
        <w:szCs w:val="18"/>
      </w:rPr>
      <w:t xml:space="preserve">Page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 xml:space="preserve">PAGE</w:instrText>
    </w:r>
    <w:r>
      <w:rPr>
        <w:color w:val="000000"/>
        <w:sz w:val="18"/>
        <w:szCs w:val="18"/>
      </w:rPr>
      <w:fldChar w:fldCharType="separate"/>
    </w:r>
    <w:r>
      <w:rPr>
        <w:color w:val="000000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C53AE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30128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1441</Words>
  <Characters>8620</Characters>
  <TotalTime>6</TotalTime>
  <ScaleCrop>false</ScaleCrop>
  <LinksUpToDate>false</LinksUpToDate>
  <CharactersWithSpaces>9965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2026-09-27T09:47:00Z</dcterms:created>
  <dc:creator>Un-named</dc:creator>
  <cp:lastModifiedBy>gloria boateng</cp:lastModifiedBy>
  <dcterms:modified xsi:type="dcterms:W3CDTF">2026-09-27T10:10:35Z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eyJoZGlkIjoiOTVkMGUzMGQ5MzRjNThlZmE1OGRlYzU5N2Y5NWZjOGUiLCJ1c2VySWQiOiIxNjY2NTEzOTUwODM5In0=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BE3466E973864D71B726AA9F7AFCFFFC_12</vt:lpwstr>
  </property>
</Properties>
</file>