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14BB" w14:textId="7F9136D5" w:rsidR="00A90ECB" w:rsidRDefault="00A90ECB" w:rsidP="00A90ECB">
      <w:pPr>
        <w:jc w:val="center"/>
        <w:rPr>
          <w:rFonts w:ascii="Times New Roman" w:hAnsi="Times New Roman" w:cs="Times New Roman"/>
          <w:b/>
          <w:bCs/>
          <w:sz w:val="32"/>
          <w:szCs w:val="32"/>
        </w:rPr>
      </w:pPr>
      <w:r>
        <w:rPr>
          <w:rFonts w:ascii="Times New Roman" w:hAnsi="Times New Roman" w:cs="Times New Roman"/>
          <w:b/>
          <w:bCs/>
          <w:sz w:val="32"/>
          <w:szCs w:val="32"/>
        </w:rPr>
        <w:t xml:space="preserve">NEXAFRICA MACHINE LEARNING </w:t>
      </w:r>
    </w:p>
    <w:p w14:paraId="4AE205C6" w14:textId="132E693D" w:rsidR="00A90ECB" w:rsidRDefault="00A90ECB" w:rsidP="00A90ECB">
      <w:pPr>
        <w:jc w:val="center"/>
        <w:rPr>
          <w:rFonts w:ascii="Times New Roman" w:hAnsi="Times New Roman" w:cs="Times New Roman"/>
          <w:b/>
          <w:bCs/>
          <w:sz w:val="32"/>
          <w:szCs w:val="32"/>
        </w:rPr>
      </w:pPr>
      <w:r>
        <w:rPr>
          <w:rFonts w:ascii="Times New Roman" w:hAnsi="Times New Roman" w:cs="Times New Roman"/>
          <w:b/>
          <w:bCs/>
          <w:sz w:val="32"/>
          <w:szCs w:val="32"/>
        </w:rPr>
        <w:t>WEEK 1</w:t>
      </w:r>
    </w:p>
    <w:p w14:paraId="2A5203EE" w14:textId="78E4DF5A" w:rsidR="00E22D2F" w:rsidRPr="00E22D2F" w:rsidRDefault="00E22D2F" w:rsidP="00E22D2F">
      <w:pPr>
        <w:rPr>
          <w:rFonts w:ascii="Times New Roman" w:hAnsi="Times New Roman" w:cs="Times New Roman"/>
          <w:b/>
          <w:bCs/>
        </w:rPr>
      </w:pPr>
      <w:r w:rsidRPr="00E22D2F">
        <w:rPr>
          <w:rFonts w:ascii="Times New Roman" w:hAnsi="Times New Roman" w:cs="Times New Roman"/>
          <w:b/>
          <w:bCs/>
        </w:rPr>
        <w:t xml:space="preserve">INTERN NAME: GLORIA BOATENG </w:t>
      </w:r>
    </w:p>
    <w:p w14:paraId="7CAD8A36" w14:textId="77777777" w:rsidR="00A90ECB" w:rsidRDefault="00A90ECB" w:rsidP="00A90ECB">
      <w:pPr>
        <w:rPr>
          <w:rFonts w:ascii="Times New Roman" w:hAnsi="Times New Roman" w:cs="Times New Roman"/>
          <w:b/>
          <w:bCs/>
          <w:sz w:val="32"/>
          <w:szCs w:val="32"/>
        </w:rPr>
      </w:pPr>
    </w:p>
    <w:p w14:paraId="47A66101" w14:textId="3A557D1D" w:rsidR="00A90ECB" w:rsidRPr="00A90ECB" w:rsidRDefault="00A90ECB" w:rsidP="00A90ECB">
      <w:pPr>
        <w:jc w:val="center"/>
        <w:rPr>
          <w:rFonts w:ascii="Times New Roman" w:hAnsi="Times New Roman" w:cs="Times New Roman"/>
          <w:b/>
          <w:bCs/>
          <w:sz w:val="32"/>
          <w:szCs w:val="32"/>
        </w:rPr>
      </w:pPr>
      <w:r w:rsidRPr="00A90ECB">
        <w:rPr>
          <w:rFonts w:ascii="Times New Roman" w:hAnsi="Times New Roman" w:cs="Times New Roman"/>
          <w:b/>
          <w:bCs/>
          <w:sz w:val="32"/>
          <w:szCs w:val="32"/>
        </w:rPr>
        <w:t>Business Understanding - Customer Churn Prediction</w:t>
      </w:r>
    </w:p>
    <w:p w14:paraId="54E446B8"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What is customer churn?</w:t>
      </w:r>
    </w:p>
    <w:p w14:paraId="5479D523" w14:textId="54988C05" w:rsidR="00A90ECB" w:rsidRPr="00A90ECB" w:rsidRDefault="00A90ECB" w:rsidP="00A90ECB">
      <w:pPr>
        <w:jc w:val="both"/>
        <w:rPr>
          <w:rFonts w:ascii="Times New Roman" w:hAnsi="Times New Roman" w:cs="Times New Roman"/>
        </w:rPr>
      </w:pPr>
      <w:r w:rsidRPr="00A90ECB">
        <w:rPr>
          <w:rFonts w:ascii="Times New Roman" w:hAnsi="Times New Roman" w:cs="Times New Roman"/>
        </w:rPr>
        <w:t>Customer churn refers to a subscriber discontinuing their relationship with a service provider. For a telecom company, this can take several forms: cancelling a line outright, letting a subscription go inactive, or porting their number to a competing network. Churn is typically tracked as a rate - the percentage of the customer base lost over a defined period, such as a month or a quarter.</w:t>
      </w:r>
    </w:p>
    <w:p w14:paraId="60F286D1"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Why churn matters to a telecom business</w:t>
      </w:r>
    </w:p>
    <w:p w14:paraId="532AD75E" w14:textId="0D2F270B" w:rsidR="00A90ECB" w:rsidRPr="00A90ECB" w:rsidRDefault="00A90ECB" w:rsidP="00A90ECB">
      <w:pPr>
        <w:jc w:val="both"/>
        <w:rPr>
          <w:rFonts w:ascii="Times New Roman" w:hAnsi="Times New Roman" w:cs="Times New Roman"/>
        </w:rPr>
      </w:pPr>
      <w:r w:rsidRPr="00A90ECB">
        <w:rPr>
          <w:rFonts w:ascii="Times New Roman" w:hAnsi="Times New Roman" w:cs="Times New Roman"/>
        </w:rPr>
        <w:t>In a competitive market such as Ghana's, where MTN, Telecel (formerly Vodafone Ghana), and AirtelTigo compete for the same subscriber base, churn has a direct and compounding effect on revenue. Acquiring a new customer - through advertising, promotions, and SIM registration costs - is substantially more expensive than retaining an existing one. Even a modest monthly churn rate of 2–3% can translate into significant annual revenue loss, particularly because high-usage customers (heavy data and airtime users) are often the first to switch when a competitor offers a better deal.</w:t>
      </w:r>
    </w:p>
    <w:p w14:paraId="2D950A04" w14:textId="27A2D371" w:rsidR="00A90ECB" w:rsidRPr="00A90ECB" w:rsidRDefault="00A90ECB" w:rsidP="00A90ECB">
      <w:pPr>
        <w:jc w:val="both"/>
        <w:rPr>
          <w:rFonts w:ascii="Times New Roman" w:hAnsi="Times New Roman" w:cs="Times New Roman"/>
        </w:rPr>
      </w:pPr>
      <w:r w:rsidRPr="00A90ECB">
        <w:rPr>
          <w:rFonts w:ascii="Times New Roman" w:hAnsi="Times New Roman" w:cs="Times New Roman"/>
        </w:rPr>
        <w:t>Beyond the direct financial impact, churn also functions as a diagnostic signal. A rising churn rate frequently points to underlying issues - poor network quality, weak customer service, or pricing that has fallen out of step with the market - making it a metric worth monitoring for operational as well as financial reasons.</w:t>
      </w:r>
    </w:p>
    <w:p w14:paraId="49ADFF43"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What the model will do</w:t>
      </w:r>
    </w:p>
    <w:p w14:paraId="332695F1" w14:textId="0A270AF2" w:rsidR="00A90ECB" w:rsidRPr="00A90ECB" w:rsidRDefault="00A90ECB" w:rsidP="00A90ECB">
      <w:pPr>
        <w:jc w:val="both"/>
        <w:rPr>
          <w:rFonts w:ascii="Times New Roman" w:hAnsi="Times New Roman" w:cs="Times New Roman"/>
        </w:rPr>
      </w:pPr>
      <w:r w:rsidRPr="00A90ECB">
        <w:rPr>
          <w:rFonts w:ascii="Times New Roman" w:hAnsi="Times New Roman" w:cs="Times New Roman"/>
        </w:rPr>
        <w:t>This project builds a binary classification model that takes customer-level data - including usage patterns, tenure, billing history, and plan type - as input and predicts whether a given customer is likely to churn (Yes/No). Where possible, the model will also output a churn probability score, allowing customers to be ranked by risk rather than sorted into a simple binary outcome.</w:t>
      </w:r>
    </w:p>
    <w:p w14:paraId="6A5307E7" w14:textId="77777777" w:rsidR="00A90ECB" w:rsidRPr="00A90ECB" w:rsidRDefault="00A90ECB" w:rsidP="00A90ECB">
      <w:pPr>
        <w:jc w:val="both"/>
        <w:rPr>
          <w:rFonts w:ascii="Times New Roman" w:hAnsi="Times New Roman" w:cs="Times New Roman"/>
        </w:rPr>
      </w:pPr>
      <w:r w:rsidRPr="00A90ECB">
        <w:rPr>
          <w:rFonts w:ascii="Times New Roman" w:hAnsi="Times New Roman" w:cs="Times New Roman"/>
          <w:b/>
          <w:bCs/>
        </w:rPr>
        <w:t>How this could help the company</w:t>
      </w:r>
    </w:p>
    <w:p w14:paraId="27EA2AB8" w14:textId="3BD3D050" w:rsidR="00A90ECB" w:rsidRDefault="00A90ECB" w:rsidP="00A90ECB">
      <w:pPr>
        <w:jc w:val="both"/>
        <w:rPr>
          <w:rFonts w:ascii="Times New Roman" w:hAnsi="Times New Roman" w:cs="Times New Roman"/>
        </w:rPr>
      </w:pPr>
      <w:r w:rsidRPr="00A90ECB">
        <w:rPr>
          <w:rFonts w:ascii="Times New Roman" w:hAnsi="Times New Roman" w:cs="Times New Roman"/>
        </w:rPr>
        <w:t xml:space="preserve">Rather than reacting after a customer has already left, the company can use this model to proactively identify at-risk subscribers before they churn. Retention resources - loyalty discounts, targeted offers, or customer service follow-up - can then be directed toward the customers most </w:t>
      </w:r>
      <w:r w:rsidRPr="00A90ECB">
        <w:rPr>
          <w:rFonts w:ascii="Times New Roman" w:hAnsi="Times New Roman" w:cs="Times New Roman"/>
        </w:rPr>
        <w:lastRenderedPageBreak/>
        <w:t>likely to leave, rather than spread across blanket campaigns that waste budget on customers who were never at risk in the first place.</w:t>
      </w:r>
    </w:p>
    <w:p w14:paraId="1CB55A86"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2. Dataset Overview</w:t>
      </w:r>
    </w:p>
    <w:p w14:paraId="745E838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The dataset used for this project is the Telco Customer Churn dataset, sourced from Kaggle. It contains 7,043 customer records across 21 columns, including demographic information, account details, subscribed services, contract type, tenure, billing information, and the target variable, Churn.</w:t>
      </w:r>
    </w:p>
    <w:p w14:paraId="68E87209"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3. Data Dictionary</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C13962" w:rsidRPr="00C13962" w14:paraId="06F3678C" w14:textId="77777777" w:rsidTr="00C13962">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6BB2B0"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Column</w:t>
            </w:r>
          </w:p>
        </w:tc>
        <w:tc>
          <w:tcPr>
            <w:tcW w:w="5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B2E79A"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Description</w:t>
            </w:r>
          </w:p>
        </w:tc>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6BB45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Type</w:t>
            </w:r>
          </w:p>
        </w:tc>
      </w:tr>
      <w:tr w:rsidR="00C13962" w:rsidRPr="00C13962" w14:paraId="2BE23EA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D820D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customerID</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8703CFA"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Unique identifier assigned to each customer</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4E04C7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 (identifier)</w:t>
            </w:r>
          </w:p>
        </w:tc>
      </w:tr>
      <w:tr w:rsidR="00C13962" w:rsidRPr="00C13962" w14:paraId="4F3C2F24"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18998A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gender</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6B31E2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Customer's gender (Male/Female)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098C14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71B8284D"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2E94A3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SeniorCitizen</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AD0635D"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is a senior citizen (1 = Yes, 0 = 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780C2A7"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 (binary, numeric)</w:t>
            </w:r>
          </w:p>
        </w:tc>
      </w:tr>
      <w:tr w:rsidR="00C13962" w:rsidRPr="00C13962" w14:paraId="0C8CD79B"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0EF158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Partner</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F1A743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a partner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4E8A84A"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7169F3A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2381C0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Dependents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D98977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dependents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F7259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137B862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B48FA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tenure</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F6DE0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Number of months the customer has stayed with the company</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B11B9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Numerical</w:t>
            </w:r>
          </w:p>
        </w:tc>
      </w:tr>
      <w:tr w:rsidR="00C13962" w:rsidRPr="00C13962" w14:paraId="35DF55F1"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4D594E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PhoneService</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0BD3D0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phone service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DA0AD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57267109"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3F0C4F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MultipleLines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6C1C77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multiple phone lines (Yes/No/No phone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30F25B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549FB665"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8CB4FC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InternetService</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AC008D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Type of internet service (DSL/Fiber optic/No)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41F021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1597838A"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E25279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OnlineSecurity</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6BCE9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online security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CE0C2A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06D2DB43"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09E11E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OnlineBackup</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B22DEA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online backup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3C3BA68"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41F0DD95"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23244A6"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lastRenderedPageBreak/>
              <w:t>DeviceProtection</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806DB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device protection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FD13E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1809555E"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071691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TechSupport</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9DA28B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tech support add-on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58001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0683F066"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91CC227"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StreamingTV</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F51253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streaming TV service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70C862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632BA662"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EAA253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StreamingMovies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0617BC1"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has streaming movies service (Yes/No/No internet service)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6D5625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61A39A2C"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C9AEF9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Contract</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EE5721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Customer's contract type (Month-to-month/One year/Two year)</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356526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3CF81149" w14:textId="77777777" w:rsidTr="00C13962">
        <w:trPr>
          <w:trHeight w:val="465"/>
        </w:trPr>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C5E6DA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PaperlessBilling</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DA0F66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uses paperless billing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318E439"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2C01F7A4"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3BBE84D"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PaymentMethod</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ACB9017"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Customer's payment method (Electronic check/Mailed check/Bank transfer/Credit card)</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E638C1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Categorical</w:t>
            </w:r>
          </w:p>
        </w:tc>
      </w:tr>
      <w:tr w:rsidR="00C13962" w:rsidRPr="00C13962" w14:paraId="74621668"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2862BA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MonthlyCharges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044FCF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Amount charged to the customer each month</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1AA1130"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Numerical</w:t>
            </w:r>
          </w:p>
        </w:tc>
      </w:tr>
      <w:tr w:rsidR="00C13962" w:rsidRPr="00C13962" w14:paraId="1FEB21E9"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20287EB"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TotalCharges</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6253C9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Total amount charged to the customer over their entire tenure</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91DD7F"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Numerical</w:t>
            </w:r>
          </w:p>
        </w:tc>
      </w:tr>
      <w:tr w:rsidR="00C13962" w:rsidRPr="00C13962" w14:paraId="77D72F26"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A80BA2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Churn</w:t>
            </w:r>
          </w:p>
        </w:tc>
        <w:tc>
          <w:tcPr>
            <w:tcW w:w="55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771D064"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Whether the customer left the company (Yes/No)</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45479F3"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Target</w:t>
            </w:r>
          </w:p>
        </w:tc>
      </w:tr>
    </w:tbl>
    <w:p w14:paraId="1538B6C6"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 xml:space="preserve"> </w:t>
      </w:r>
    </w:p>
    <w:p w14:paraId="3BC8880C"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b/>
          <w:bCs/>
        </w:rPr>
        <w:t xml:space="preserve">Note: </w:t>
      </w:r>
      <w:r w:rsidRPr="00C13962">
        <w:rPr>
          <w:rFonts w:ascii="Times New Roman" w:hAnsi="Times New Roman" w:cs="Times New Roman"/>
        </w:rPr>
        <w:t>Columns such as OnlineSecurity, TechSupport, and the other service add-ons include a third category, "No internet service" (or "No phone service" for MultipleLines), which reflects a logical dependency rather than an inconsistency — customers without internet service cannot subscribe to internet-dependent add-ons</w:t>
      </w:r>
      <w:r w:rsidRPr="00C13962">
        <w:rPr>
          <w:rFonts w:ascii="Times New Roman" w:hAnsi="Times New Roman" w:cs="Times New Roman"/>
          <w:i/>
          <w:iCs/>
        </w:rPr>
        <w:t>.</w:t>
      </w:r>
    </w:p>
    <w:p w14:paraId="1717FE17"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4. Data Quality Report</w:t>
      </w:r>
    </w:p>
    <w:p w14:paraId="0E7B8802"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The raw dataset required the following cleaning steps before analysis:</w:t>
      </w:r>
    </w:p>
    <w:p w14:paraId="341D6B6D"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Column name whitespace: Several column names contained leading or trailing spaces (e.g. " TotalCharges ") and were stripped to standard form.</w:t>
      </w:r>
    </w:p>
    <w:p w14:paraId="67AEFF00"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 xml:space="preserve">TotalCharges data type: TotalCharges was loaded as a text column rather than numeric. After conversion, 11 records returned missing values; all 11 corresponded to customers </w:t>
      </w:r>
      <w:r w:rsidRPr="00C13962">
        <w:rPr>
          <w:rFonts w:ascii="Times New Roman" w:hAnsi="Times New Roman" w:cs="Times New Roman"/>
        </w:rPr>
        <w:lastRenderedPageBreak/>
        <w:t>with tenure = 0, indicating new customers who had not yet been billed. These were filled with 0, since a customer with zero tenure has logically accrued zero charges.</w:t>
      </w:r>
    </w:p>
    <w:p w14:paraId="3F798B00"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Duplicate records: No fully duplicated rows were found, and every customerID was unique (0 duplicates).</w:t>
      </w:r>
    </w:p>
    <w:p w14:paraId="34D65D56" w14:textId="540C2550"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 xml:space="preserve">Categorical consistency: All categorical columns were checked for inconsistent spelling, capitalization, or spacing. No inconsistencies were found </w:t>
      </w:r>
      <w:r w:rsidR="00E22D2F">
        <w:rPr>
          <w:rFonts w:ascii="Times New Roman" w:hAnsi="Times New Roman" w:cs="Times New Roman"/>
        </w:rPr>
        <w:t>-</w:t>
      </w:r>
      <w:r w:rsidRPr="00C13962">
        <w:rPr>
          <w:rFonts w:ascii="Times New Roman" w:hAnsi="Times New Roman" w:cs="Times New Roman"/>
        </w:rPr>
        <w:t xml:space="preserve"> all categories were clean and well-formed.</w:t>
      </w:r>
    </w:p>
    <w:p w14:paraId="1EC77A05"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Following these steps, the dataset contained no missing values across any of its 21 columns.</w:t>
      </w:r>
    </w:p>
    <w:p w14:paraId="65A0DA1F" w14:textId="3506A13E"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 xml:space="preserve">5. Target Variable Analysis </w:t>
      </w:r>
      <w:r w:rsidR="00E22D2F">
        <w:rPr>
          <w:rFonts w:ascii="Times New Roman" w:hAnsi="Times New Roman" w:cs="Times New Roman"/>
          <w:b/>
          <w:bCs/>
        </w:rPr>
        <w:t>-</w:t>
      </w:r>
      <w:r w:rsidRPr="00C13962">
        <w:rPr>
          <w:rFonts w:ascii="Times New Roman" w:hAnsi="Times New Roman" w:cs="Times New Roman"/>
          <w:b/>
          <w:bCs/>
        </w:rPr>
        <w:t xml:space="preserve"> Class Imbalance</w:t>
      </w:r>
    </w:p>
    <w:p w14:paraId="66DCBBF7" w14:textId="64AD420C" w:rsidR="00C13962" w:rsidRPr="00C13962" w:rsidRDefault="00C13962" w:rsidP="00C13962">
      <w:pPr>
        <w:jc w:val="both"/>
        <w:rPr>
          <w:rFonts w:ascii="Times New Roman" w:hAnsi="Times New Roman" w:cs="Times New Roman"/>
        </w:rPr>
      </w:pPr>
      <w:r w:rsidRPr="00C13962">
        <w:rPr>
          <w:rFonts w:ascii="Times New Roman" w:hAnsi="Times New Roman" w:cs="Times New Roman"/>
        </w:rPr>
        <w:t xml:space="preserve">The target variable, Churn, is imbalanced: 5,174 customers (73.46%) did not churn, while 1,869 customers (26.54%) churned. This roughly 3:1 ratio is consistent with typical telecom churn rates and with the broader pattern seen in subscription-based businesses, where </w:t>
      </w:r>
      <w:r w:rsidR="00E22D2F" w:rsidRPr="00C13962">
        <w:rPr>
          <w:rFonts w:ascii="Times New Roman" w:hAnsi="Times New Roman" w:cs="Times New Roman"/>
        </w:rPr>
        <w:t>most</w:t>
      </w:r>
      <w:r w:rsidRPr="00C13962">
        <w:rPr>
          <w:rFonts w:ascii="Times New Roman" w:hAnsi="Times New Roman" w:cs="Times New Roman"/>
        </w:rPr>
        <w:t xml:space="preserve"> customers remain with the provider in any given period.</w:t>
      </w:r>
    </w:p>
    <w:p w14:paraId="3D23D15E"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This imbalance has direct implications for later modeling stages: accuracy alone would be a misleading metric (a model predicting "No churn" for every customer would score ~73% accuracy while identifying zero at-risk customers), so precision, recall, F1-score, and PR-AUC will be prioritized in later evaluation, with particular attention to recall on the churn class. A stratified train/test split was used to preserve this ratio in both subsets.</w:t>
      </w:r>
    </w:p>
    <w:p w14:paraId="2223C670"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6. Core Machine Learning Concepts</w:t>
      </w:r>
    </w:p>
    <w:p w14:paraId="51806E82" w14:textId="61334298"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 xml:space="preserve">Features vs. target: Features are the input variables used to make a prediction (e.g. tenure, Contract, MonthlyCharges); the target is the variable being predicted </w:t>
      </w:r>
      <w:r w:rsidR="00E22D2F">
        <w:rPr>
          <w:rFonts w:ascii="Times New Roman" w:hAnsi="Times New Roman" w:cs="Times New Roman"/>
        </w:rPr>
        <w:t>-</w:t>
      </w:r>
      <w:r w:rsidRPr="00C13962">
        <w:rPr>
          <w:rFonts w:ascii="Times New Roman" w:hAnsi="Times New Roman" w:cs="Times New Roman"/>
        </w:rPr>
        <w:t xml:space="preserve"> in this case, Churn.</w:t>
      </w:r>
    </w:p>
    <w:p w14:paraId="471C576E"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Training vs. testing datasets: The training set is used to teach the model underlying patterns; the testing set, held out from training, evaluates how well the model generalizes to unseen data.</w:t>
      </w:r>
    </w:p>
    <w:p w14:paraId="2552E783"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Classification vs. regression: Classification predicts a category or class (e.g. Churn: Yes/No); regression predicts a continuous numeric value (e.g. predicting a customer's monthly charge). This project is a classification problem.</w:t>
      </w:r>
    </w:p>
    <w:p w14:paraId="78884A2E"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Supervised vs. unsupervised learning: Supervised learning trains on labeled data where the correct outcome is known (each customer's actual churn status is available here); unsupervised learning identifies patterns in data without labeled outcomes (e.g. grouping customers by usage behavior without reference to churn).</w:t>
      </w:r>
    </w:p>
    <w:p w14:paraId="1F92AC64"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7. Train/Test Split</w:t>
      </w:r>
    </w:p>
    <w:p w14:paraId="58EC3E89" w14:textId="77777777" w:rsidR="00C13962" w:rsidRPr="00C13962" w:rsidRDefault="00C13962" w:rsidP="00C13962">
      <w:pPr>
        <w:jc w:val="both"/>
        <w:rPr>
          <w:rFonts w:ascii="Times New Roman" w:hAnsi="Times New Roman" w:cs="Times New Roman"/>
        </w:rPr>
      </w:pPr>
      <w:r w:rsidRPr="00C13962">
        <w:rPr>
          <w:rFonts w:ascii="Times New Roman" w:hAnsi="Times New Roman" w:cs="Times New Roman"/>
        </w:rPr>
        <w:t>The dataset was split into training and testing sets using an 80/20 split, with stratification on the Churn variable to preserve the 73.46% / 26.54% class ratio in both sets:</w:t>
      </w:r>
    </w:p>
    <w:p w14:paraId="7A27EF2C"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lastRenderedPageBreak/>
        <w:t>Training set: 5,634 customers</w:t>
      </w:r>
    </w:p>
    <w:p w14:paraId="690F7048"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Testing set: 1,409 customers</w:t>
      </w:r>
    </w:p>
    <w:p w14:paraId="10535965" w14:textId="77777777" w:rsidR="00C13962" w:rsidRPr="00C13962" w:rsidRDefault="00C13962" w:rsidP="00C13962">
      <w:pPr>
        <w:jc w:val="both"/>
        <w:rPr>
          <w:rFonts w:ascii="Times New Roman" w:hAnsi="Times New Roman" w:cs="Times New Roman"/>
          <w:b/>
          <w:bCs/>
        </w:rPr>
      </w:pPr>
      <w:r w:rsidRPr="00C13962">
        <w:rPr>
          <w:rFonts w:ascii="Times New Roman" w:hAnsi="Times New Roman" w:cs="Times New Roman"/>
          <w:b/>
          <w:bCs/>
        </w:rPr>
        <w:t>8. Deliverables Summary</w:t>
      </w:r>
    </w:p>
    <w:p w14:paraId="689925FF"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Raw dataset (WA_Fn-UseC_-Telco-Customer-Churn.csv)</w:t>
      </w:r>
    </w:p>
    <w:p w14:paraId="56538B37"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Cleaned dataset (telco_churn_cleaned.csv)</w:t>
      </w:r>
    </w:p>
    <w:p w14:paraId="5E10A62E"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Jupyter Notebook (week1_data_preparation.ipynb) containing the full workflow</w:t>
      </w:r>
    </w:p>
    <w:p w14:paraId="3FC40D73"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Data dictionary (Section 3)</w:t>
      </w:r>
    </w:p>
    <w:p w14:paraId="5F44CD57"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Problem statement (Section 1)</w:t>
      </w:r>
    </w:p>
    <w:p w14:paraId="6D867744"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Data quality report (Section 4)</w:t>
      </w:r>
    </w:p>
    <w:p w14:paraId="5A9A64C9" w14:textId="77777777" w:rsidR="00C13962" w:rsidRPr="00C13962" w:rsidRDefault="00C13962" w:rsidP="00C13962">
      <w:pPr>
        <w:numPr>
          <w:ilvl w:val="0"/>
          <w:numId w:val="2"/>
        </w:numPr>
        <w:jc w:val="both"/>
        <w:rPr>
          <w:rFonts w:ascii="Times New Roman" w:hAnsi="Times New Roman" w:cs="Times New Roman"/>
        </w:rPr>
      </w:pPr>
      <w:r w:rsidRPr="00C13962">
        <w:rPr>
          <w:rFonts w:ascii="Times New Roman" w:hAnsi="Times New Roman" w:cs="Times New Roman"/>
        </w:rPr>
        <w:t>Target variable distribution analysis (Section 5)</w:t>
      </w:r>
    </w:p>
    <w:p w14:paraId="5D3C35A1" w14:textId="77777777" w:rsidR="00C13962" w:rsidRPr="00A90ECB" w:rsidRDefault="00C13962" w:rsidP="00A90ECB">
      <w:pPr>
        <w:jc w:val="both"/>
        <w:rPr>
          <w:rFonts w:ascii="Times New Roman" w:hAnsi="Times New Roman" w:cs="Times New Roman"/>
        </w:rPr>
      </w:pPr>
    </w:p>
    <w:sectPr w:rsidR="00C13962" w:rsidRPr="00A90E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B2A"/>
    <w:multiLevelType w:val="multilevel"/>
    <w:tmpl w:val="EFD0AD2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15:restartNumberingAfterBreak="0">
    <w:nsid w:val="312A6422"/>
    <w:multiLevelType w:val="multilevel"/>
    <w:tmpl w:val="4E70A87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16cid:durableId="1728063320">
    <w:abstractNumId w:val="1"/>
    <w:lvlOverride w:ilvl="0"/>
    <w:lvlOverride w:ilvl="1"/>
    <w:lvlOverride w:ilvl="2"/>
    <w:lvlOverride w:ilvl="3"/>
    <w:lvlOverride w:ilvl="4"/>
    <w:lvlOverride w:ilvl="5"/>
    <w:lvlOverride w:ilvl="6"/>
    <w:lvlOverride w:ilvl="7"/>
    <w:lvlOverride w:ilvl="8"/>
  </w:num>
  <w:num w:numId="2" w16cid:durableId="210032324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CB"/>
    <w:rsid w:val="002752EA"/>
    <w:rsid w:val="004926B7"/>
    <w:rsid w:val="00A90ECB"/>
    <w:rsid w:val="00C13962"/>
    <w:rsid w:val="00CB4CF7"/>
    <w:rsid w:val="00E22D2F"/>
    <w:rsid w:val="00FF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62D6"/>
  <w15:chartTrackingRefBased/>
  <w15:docId w15:val="{29B67FBA-8D7C-4401-9606-F48DCD27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CB"/>
    <w:rPr>
      <w:rFonts w:eastAsiaTheme="majorEastAsia" w:cstheme="majorBidi"/>
      <w:color w:val="272727" w:themeColor="text1" w:themeTint="D8"/>
    </w:rPr>
  </w:style>
  <w:style w:type="paragraph" w:styleId="Title">
    <w:name w:val="Title"/>
    <w:basedOn w:val="Normal"/>
    <w:next w:val="Normal"/>
    <w:link w:val="TitleChar"/>
    <w:uiPriority w:val="10"/>
    <w:qFormat/>
    <w:rsid w:val="00A9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CB"/>
    <w:pPr>
      <w:spacing w:before="160"/>
      <w:jc w:val="center"/>
    </w:pPr>
    <w:rPr>
      <w:i/>
      <w:iCs/>
      <w:color w:val="404040" w:themeColor="text1" w:themeTint="BF"/>
    </w:rPr>
  </w:style>
  <w:style w:type="character" w:customStyle="1" w:styleId="QuoteChar">
    <w:name w:val="Quote Char"/>
    <w:basedOn w:val="DefaultParagraphFont"/>
    <w:link w:val="Quote"/>
    <w:uiPriority w:val="29"/>
    <w:rsid w:val="00A90ECB"/>
    <w:rPr>
      <w:i/>
      <w:iCs/>
      <w:color w:val="404040" w:themeColor="text1" w:themeTint="BF"/>
    </w:rPr>
  </w:style>
  <w:style w:type="paragraph" w:styleId="ListParagraph">
    <w:name w:val="List Paragraph"/>
    <w:basedOn w:val="Normal"/>
    <w:uiPriority w:val="34"/>
    <w:qFormat/>
    <w:rsid w:val="00A90ECB"/>
    <w:pPr>
      <w:ind w:left="720"/>
      <w:contextualSpacing/>
    </w:pPr>
  </w:style>
  <w:style w:type="character" w:styleId="IntenseEmphasis">
    <w:name w:val="Intense Emphasis"/>
    <w:basedOn w:val="DefaultParagraphFont"/>
    <w:uiPriority w:val="21"/>
    <w:qFormat/>
    <w:rsid w:val="00A90ECB"/>
    <w:rPr>
      <w:i/>
      <w:iCs/>
      <w:color w:val="0F4761" w:themeColor="accent1" w:themeShade="BF"/>
    </w:rPr>
  </w:style>
  <w:style w:type="paragraph" w:styleId="IntenseQuote">
    <w:name w:val="Intense Quote"/>
    <w:basedOn w:val="Normal"/>
    <w:next w:val="Normal"/>
    <w:link w:val="IntenseQuoteChar"/>
    <w:uiPriority w:val="30"/>
    <w:qFormat/>
    <w:rsid w:val="00A90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ECB"/>
    <w:rPr>
      <w:i/>
      <w:iCs/>
      <w:color w:val="0F4761" w:themeColor="accent1" w:themeShade="BF"/>
    </w:rPr>
  </w:style>
  <w:style w:type="character" w:styleId="IntenseReference">
    <w:name w:val="Intense Reference"/>
    <w:basedOn w:val="DefaultParagraphFont"/>
    <w:uiPriority w:val="32"/>
    <w:qFormat/>
    <w:rsid w:val="00A90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BOATENG</dc:creator>
  <cp:keywords/>
  <dc:description/>
  <cp:lastModifiedBy>Gloria BOATENG</cp:lastModifiedBy>
  <cp:revision>2</cp:revision>
  <dcterms:created xsi:type="dcterms:W3CDTF">2026-09-11T14:31:00Z</dcterms:created>
  <dcterms:modified xsi:type="dcterms:W3CDTF">2026-09-12T09:57:00Z</dcterms:modified>
</cp:coreProperties>
</file>