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F65F3A">
      <w:pPr>
        <w:spacing w:before="1200"/>
        <w:jc w:val="both"/>
        <w:rPr>
          <w:rFonts w:hint="default" w:ascii="Times New Roman" w:hAnsi="Times New Roman" w:cs="Times New Roman"/>
          <w:color w:val="auto"/>
          <w:sz w:val="24"/>
          <w:szCs w:val="24"/>
        </w:rPr>
      </w:pPr>
    </w:p>
    <w:p w14:paraId="59C84E42">
      <w:pPr>
        <w:spacing w:after="200"/>
        <w:jc w:val="center"/>
        <w:rPr>
          <w:rFonts w:hint="default" w:ascii="Times New Roman" w:hAnsi="Times New Roman" w:cs="Times New Roman"/>
          <w:color w:val="auto"/>
          <w:sz w:val="32"/>
          <w:szCs w:val="32"/>
        </w:rPr>
      </w:pPr>
      <w:r>
        <w:rPr>
          <w:rFonts w:hint="default" w:ascii="Times New Roman" w:hAnsi="Times New Roman" w:cs="Times New Roman"/>
          <w:b/>
          <w:bCs/>
          <w:color w:val="auto"/>
          <w:sz w:val="32"/>
          <w:szCs w:val="32"/>
        </w:rPr>
        <w:t>Customer Churn Prediction</w:t>
      </w:r>
    </w:p>
    <w:p w14:paraId="7ACE006B">
      <w:pPr>
        <w:spacing w:after="600"/>
        <w:jc w:val="center"/>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Week 2 Report: Exploratory Data Analysis &amp; Feature Engineering</w:t>
      </w:r>
    </w:p>
    <w:p w14:paraId="0BE4EF06">
      <w:pPr>
        <w:spacing w:after="100"/>
        <w:jc w:val="center"/>
        <w:rPr>
          <w:rFonts w:hint="default" w:ascii="Times New Roman" w:hAnsi="Times New Roman" w:cs="Times New Roman"/>
          <w:i/>
          <w:iCs/>
          <w:color w:val="auto"/>
          <w:sz w:val="52"/>
          <w:szCs w:val="52"/>
          <w:lang w:val="en-GB"/>
        </w:rPr>
      </w:pPr>
      <w:r>
        <w:rPr>
          <w:rFonts w:hint="default" w:ascii="Times New Roman" w:hAnsi="Times New Roman" w:cs="Times New Roman"/>
          <w:i/>
          <w:iCs/>
          <w:color w:val="auto"/>
          <w:sz w:val="52"/>
          <w:szCs w:val="52"/>
        </w:rPr>
        <w:t>NexAfrica Machine Learning Internship</w:t>
      </w:r>
      <w:r>
        <w:rPr>
          <w:rFonts w:hint="default" w:ascii="Times New Roman" w:hAnsi="Times New Roman" w:cs="Times New Roman"/>
          <w:i/>
          <w:iCs/>
          <w:color w:val="auto"/>
          <w:sz w:val="52"/>
          <w:szCs w:val="52"/>
          <w:lang w:val="en-GB"/>
        </w:rPr>
        <w:t xml:space="preserve"> </w:t>
      </w:r>
    </w:p>
    <w:p w14:paraId="2B6EDAC4">
      <w:pPr>
        <w:spacing w:after="100"/>
        <w:jc w:val="center"/>
        <w:rPr>
          <w:rFonts w:hint="default" w:ascii="Times New Roman" w:hAnsi="Times New Roman" w:cs="Times New Roman"/>
          <w:i/>
          <w:iCs/>
          <w:color w:val="auto"/>
          <w:sz w:val="52"/>
          <w:szCs w:val="52"/>
          <w:lang w:val="en-GB"/>
        </w:rPr>
      </w:pPr>
    </w:p>
    <w:p w14:paraId="5296C879">
      <w:pPr>
        <w:spacing w:after="100"/>
        <w:jc w:val="center"/>
        <w:rPr>
          <w:rFonts w:hint="default" w:ascii="Times New Roman" w:hAnsi="Times New Roman" w:cs="Times New Roman"/>
          <w:i/>
          <w:iCs/>
          <w:color w:val="auto"/>
          <w:sz w:val="32"/>
          <w:szCs w:val="32"/>
          <w:lang w:val="en-GB"/>
        </w:rPr>
      </w:pPr>
    </w:p>
    <w:p w14:paraId="60B60E1C">
      <w:pPr>
        <w:jc w:val="center"/>
        <w:rPr>
          <w:rFonts w:hint="default" w:ascii="Times New Roman" w:hAnsi="Times New Roman" w:cs="Times New Roman"/>
          <w:color w:val="auto"/>
          <w:sz w:val="24"/>
          <w:szCs w:val="24"/>
          <w:lang w:val="en-GB"/>
        </w:rPr>
      </w:pPr>
      <w:r>
        <w:rPr>
          <w:rFonts w:hint="default" w:ascii="Times New Roman" w:hAnsi="Times New Roman" w:cs="Times New Roman"/>
          <w:color w:val="auto"/>
          <w:sz w:val="24"/>
          <w:szCs w:val="24"/>
        </w:rPr>
        <w:t xml:space="preserve">Prepared by: </w:t>
      </w:r>
      <w:r>
        <w:rPr>
          <w:rFonts w:hint="default" w:ascii="Times New Roman" w:hAnsi="Times New Roman" w:cs="Times New Roman"/>
          <w:color w:val="auto"/>
          <w:sz w:val="24"/>
          <w:szCs w:val="24"/>
          <w:lang w:val="en-GB"/>
        </w:rPr>
        <w:t>GLORIA BOATENG</w:t>
      </w:r>
    </w:p>
    <w:p w14:paraId="03AECE98">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br w:type="page"/>
      </w:r>
    </w:p>
    <w:p w14:paraId="3A8AFF97">
      <w:pPr>
        <w:pStyle w:val="2"/>
        <w:spacing w:before="300"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1. Overview</w:t>
      </w:r>
    </w:p>
    <w:p w14:paraId="29726E9F">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This report covers Week 2 of the Customer Churn Prediction project: exploratory data analysis (EDA), identification of key churn drivers, feature engineering, and feature preprocessing. All analysis builds on the cleaned dataset produced in Week 1 (7,043 customers, 21 columns, no missing values or duplicates).</w:t>
      </w:r>
    </w:p>
    <w:p w14:paraId="0E00AF7F">
      <w:pPr>
        <w:pStyle w:val="2"/>
        <w:spacing w:before="300"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2. Descriptive Statistics</w:t>
      </w:r>
    </w:p>
    <w:p w14:paraId="23D1B3FB">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Summary statistics for the core numerical variables:</w:t>
      </w: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70"/>
        <w:gridCol w:w="1870"/>
        <w:gridCol w:w="1870"/>
        <w:gridCol w:w="1870"/>
        <w:gridCol w:w="1870"/>
      </w:tblGrid>
      <w:tr w14:paraId="0BCAB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0" w:type="dxa"/>
            <w:shd w:val="clear" w:color="auto" w:fill="1F3A5F"/>
          </w:tcPr>
          <w:p w14:paraId="1E127C22">
            <w:pPr>
              <w:jc w:val="both"/>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Variable</w:t>
            </w:r>
          </w:p>
        </w:tc>
        <w:tc>
          <w:tcPr>
            <w:tcW w:w="1870" w:type="dxa"/>
            <w:shd w:val="clear" w:color="auto" w:fill="1F3A5F"/>
          </w:tcPr>
          <w:p w14:paraId="50875890">
            <w:pPr>
              <w:jc w:val="both"/>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Mean</w:t>
            </w:r>
          </w:p>
        </w:tc>
        <w:tc>
          <w:tcPr>
            <w:tcW w:w="1870" w:type="dxa"/>
            <w:shd w:val="clear" w:color="auto" w:fill="1F3A5F"/>
          </w:tcPr>
          <w:p w14:paraId="6A1FA802">
            <w:pPr>
              <w:jc w:val="both"/>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Median</w:t>
            </w:r>
          </w:p>
        </w:tc>
        <w:tc>
          <w:tcPr>
            <w:tcW w:w="1870" w:type="dxa"/>
            <w:shd w:val="clear" w:color="auto" w:fill="1F3A5F"/>
          </w:tcPr>
          <w:p w14:paraId="56ECF55E">
            <w:pPr>
              <w:jc w:val="both"/>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Min</w:t>
            </w:r>
          </w:p>
        </w:tc>
        <w:tc>
          <w:tcPr>
            <w:tcW w:w="1870" w:type="dxa"/>
            <w:shd w:val="clear" w:color="auto" w:fill="1F3A5F"/>
          </w:tcPr>
          <w:p w14:paraId="1CFA4DE8">
            <w:pPr>
              <w:jc w:val="both"/>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Max</w:t>
            </w:r>
          </w:p>
        </w:tc>
      </w:tr>
      <w:tr w14:paraId="6F8FF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0" w:type="dxa"/>
          </w:tcPr>
          <w:p w14:paraId="1FEEB181">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Tenure (months)</w:t>
            </w:r>
          </w:p>
        </w:tc>
        <w:tc>
          <w:tcPr>
            <w:tcW w:w="1870" w:type="dxa"/>
          </w:tcPr>
          <w:p w14:paraId="2DF7D027">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32.4</w:t>
            </w:r>
          </w:p>
        </w:tc>
        <w:tc>
          <w:tcPr>
            <w:tcW w:w="1870" w:type="dxa"/>
          </w:tcPr>
          <w:p w14:paraId="0858182F">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29</w:t>
            </w:r>
          </w:p>
        </w:tc>
        <w:tc>
          <w:tcPr>
            <w:tcW w:w="1870" w:type="dxa"/>
          </w:tcPr>
          <w:p w14:paraId="57DED952">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0</w:t>
            </w:r>
          </w:p>
        </w:tc>
        <w:tc>
          <w:tcPr>
            <w:tcW w:w="1870" w:type="dxa"/>
          </w:tcPr>
          <w:p w14:paraId="457D8525">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72</w:t>
            </w:r>
          </w:p>
        </w:tc>
      </w:tr>
      <w:tr w14:paraId="3B30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0" w:type="dxa"/>
          </w:tcPr>
          <w:p w14:paraId="48FA1588">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Monthly Charges ($)</w:t>
            </w:r>
          </w:p>
        </w:tc>
        <w:tc>
          <w:tcPr>
            <w:tcW w:w="1870" w:type="dxa"/>
          </w:tcPr>
          <w:p w14:paraId="78C9B40F">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64.76</w:t>
            </w:r>
          </w:p>
        </w:tc>
        <w:tc>
          <w:tcPr>
            <w:tcW w:w="1870" w:type="dxa"/>
          </w:tcPr>
          <w:p w14:paraId="06996F95">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70.35</w:t>
            </w:r>
          </w:p>
        </w:tc>
        <w:tc>
          <w:tcPr>
            <w:tcW w:w="1870" w:type="dxa"/>
          </w:tcPr>
          <w:p w14:paraId="47F096C7">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18.25</w:t>
            </w:r>
          </w:p>
        </w:tc>
        <w:tc>
          <w:tcPr>
            <w:tcW w:w="1870" w:type="dxa"/>
          </w:tcPr>
          <w:p w14:paraId="545B3527">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118.75</w:t>
            </w:r>
          </w:p>
        </w:tc>
      </w:tr>
      <w:tr w14:paraId="461AB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70" w:type="dxa"/>
          </w:tcPr>
          <w:p w14:paraId="0303F7C6">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Total Charges ($)</w:t>
            </w:r>
          </w:p>
        </w:tc>
        <w:tc>
          <w:tcPr>
            <w:tcW w:w="1870" w:type="dxa"/>
          </w:tcPr>
          <w:p w14:paraId="18D0CD1E">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2,279.73</w:t>
            </w:r>
          </w:p>
        </w:tc>
        <w:tc>
          <w:tcPr>
            <w:tcW w:w="1870" w:type="dxa"/>
          </w:tcPr>
          <w:p w14:paraId="653B6B39">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1,394.55</w:t>
            </w:r>
          </w:p>
        </w:tc>
        <w:tc>
          <w:tcPr>
            <w:tcW w:w="1870" w:type="dxa"/>
          </w:tcPr>
          <w:p w14:paraId="5F2E32D3">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0</w:t>
            </w:r>
          </w:p>
        </w:tc>
        <w:tc>
          <w:tcPr>
            <w:tcW w:w="1870" w:type="dxa"/>
          </w:tcPr>
          <w:p w14:paraId="69A73399">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8,684.80</w:t>
            </w:r>
          </w:p>
        </w:tc>
      </w:tr>
    </w:tbl>
    <w:p w14:paraId="6092ECAE">
      <w:pPr>
        <w:spacing w:after="200"/>
        <w:jc w:val="both"/>
        <w:rPr>
          <w:rFonts w:hint="default" w:ascii="Times New Roman" w:hAnsi="Times New Roman" w:cs="Times New Roman"/>
          <w:color w:val="auto"/>
          <w:sz w:val="24"/>
          <w:szCs w:val="24"/>
        </w:rPr>
      </w:pPr>
    </w:p>
    <w:p w14:paraId="32F558D0">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A sanity check confirmed TotalCharges is internally consistent with tenure × MonthlyCharges (median difference of $0, with natural variation from pricing changes over time).</w:t>
      </w:r>
    </w:p>
    <w:p w14:paraId="4AA708A2">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16.2% of customers are senior citizens. Contract types are split: 55.0% Month-to-month, 24.1% Two year, 20.9% One year.</w:t>
      </w:r>
    </w:p>
    <w:p w14:paraId="14E94230">
      <w:pPr>
        <w:pStyle w:val="2"/>
        <w:spacing w:before="300"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3. Key Churn Drivers</w:t>
      </w:r>
    </w:p>
    <w:p w14:paraId="00E386C7">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Six key insights were identified by analyzing churn rates across customer segments.</w:t>
      </w:r>
    </w:p>
    <w:p w14:paraId="0F5AAC55">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Insight 1: Contract Type</w:t>
      </w:r>
    </w:p>
    <w:p w14:paraId="5D95C233">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Month-to-month customers churn at 42.7%, compared to 11.3% for one-year contracts and just 2.8% for two-year contracts — a roughly 15x difference between the least and most committed contract types. Contract length appears to function as a proxy for switching cost: customers without a lock-in period face no friction to leaving.</w:t>
      </w:r>
    </w:p>
    <w:p w14:paraId="42E9BF1D">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4000500" cy="283464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4000500" cy="2834640"/>
                    </a:xfrm>
                    <a:prstGeom prst="rect">
                      <a:avLst/>
                    </a:prstGeom>
                  </pic:spPr>
                </pic:pic>
              </a:graphicData>
            </a:graphic>
          </wp:inline>
        </w:drawing>
      </w:r>
    </w:p>
    <w:p w14:paraId="08F280F6">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1: Churn rate by contract type</w:t>
      </w:r>
    </w:p>
    <w:p w14:paraId="396928F1">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Insight 2: Tenure</w:t>
      </w:r>
    </w:p>
    <w:p w14:paraId="4AF5028A">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Churned customers had an average tenure of 18.0 months, compared to 37.6 months for retained customers — roughly half the tenure. Churn risk is concentrated in a customer's first year or two, likely reflecting an early evaluation period combined with a lack of long-term contract commitment.</w:t>
      </w:r>
    </w:p>
    <w:p w14:paraId="6E74E1DF">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3238500" cy="2200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3238500" cy="2200275"/>
                    </a:xfrm>
                    <a:prstGeom prst="rect">
                      <a:avLst/>
                    </a:prstGeom>
                  </pic:spPr>
                </pic:pic>
              </a:graphicData>
            </a:graphic>
          </wp:inline>
        </w:drawing>
      </w:r>
    </w:p>
    <w:p w14:paraId="30F65B77">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2: Average tenure, churned vs retained customers</w:t>
      </w:r>
    </w:p>
    <w:p w14:paraId="58097F99">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Insight 3: Monthly Charges</w:t>
      </w:r>
    </w:p>
    <w:p w14:paraId="08F1708F">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Churned customers paid an average of $74.44/month, versus $61.27/month for retained customers — a gap of roughly $13. This may reflect price sensitivity among higher-paying customers, or may be a downstream effect of service type (see Insight 4).</w:t>
      </w:r>
    </w:p>
    <w:p w14:paraId="4BFE3D54">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3238500" cy="220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rcRect/>
                    <a:stretch>
                      <a:fillRect/>
                    </a:stretch>
                  </pic:blipFill>
                  <pic:spPr>
                    <a:xfrm>
                      <a:off x="0" y="0"/>
                      <a:ext cx="3238500" cy="2200275"/>
                    </a:xfrm>
                    <a:prstGeom prst="rect">
                      <a:avLst/>
                    </a:prstGeom>
                  </pic:spPr>
                </pic:pic>
              </a:graphicData>
            </a:graphic>
          </wp:inline>
        </w:drawing>
      </w:r>
    </w:p>
    <w:p w14:paraId="3FEA0C1C">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3: Average monthly charges, churned vs retained customers</w:t>
      </w:r>
    </w:p>
    <w:p w14:paraId="1FBCB93A">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Insight 4: Internet Service Type</w:t>
      </w:r>
    </w:p>
    <w:p w14:paraId="70EAC8A3">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Fiber optic customers churn at 41.9%, compared to 19.0% for DSL and 7.4% for customers with no internet service — more than double the DSL rate. This connects directly to Insight 3, since fiber optic is the highest-priced tier. Despite being the technically superior product, fiber optic shows the highest churn of any service type, possibly reflecting higher customer expectations or greater availability of competing providers in fiber-serviceable areas.</w:t>
      </w:r>
    </w:p>
    <w:p w14:paraId="0F9101CF">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4000500" cy="2724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rcRect/>
                    <a:stretch>
                      <a:fillRect/>
                    </a:stretch>
                  </pic:blipFill>
                  <pic:spPr>
                    <a:xfrm>
                      <a:off x="0" y="0"/>
                      <a:ext cx="4000500" cy="2724150"/>
                    </a:xfrm>
                    <a:prstGeom prst="rect">
                      <a:avLst/>
                    </a:prstGeom>
                  </pic:spPr>
                </pic:pic>
              </a:graphicData>
            </a:graphic>
          </wp:inline>
        </w:drawing>
      </w:r>
    </w:p>
    <w:p w14:paraId="466C272B">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4: Churn rate by internet service type</w:t>
      </w:r>
    </w:p>
    <w:p w14:paraId="782DE5C5">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Insight 5: Payment Method</w:t>
      </w:r>
    </w:p>
    <w:p w14:paraId="26B34495">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Customers paying via electronic check churn at 45.3%, roughly 3x the rate of all other payment methods (15-19%). Automatic payment methods (bank transfer, credit card) show the lowest churn, suggesting payment friction — or the lack of it — discourages cancellation. This likely overlaps with contract type and tenure rather than acting as a fully independent driver.</w:t>
      </w:r>
    </w:p>
    <w:p w14:paraId="0B58C471">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4191000" cy="28479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4191000" cy="2847975"/>
                    </a:xfrm>
                    <a:prstGeom prst="rect">
                      <a:avLst/>
                    </a:prstGeom>
                  </pic:spPr>
                </pic:pic>
              </a:graphicData>
            </a:graphic>
          </wp:inline>
        </w:drawing>
      </w:r>
    </w:p>
    <w:p w14:paraId="5A0769FC">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5: Churn rate by payment method</w:t>
      </w:r>
    </w:p>
    <w:p w14:paraId="49191FFF">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Insight 6: Demographics — Gender vs. Senior Citizen Status</w:t>
      </w:r>
    </w:p>
    <w:p w14:paraId="2869328B">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Gender shows no meaningful effect on churn (26.9% female vs 26.2% male) and can likely be deprioritized as a predictor. Senior citizens, by contrast, churn at nearly double the rate of non-seniors (41.7% vs 23.6%), despite making up only 16.2% of the customer base — a real and substantial gap worth further investigation.</w:t>
      </w:r>
    </w:p>
    <w:p w14:paraId="380A6010">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2857500" cy="1943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1"/>
                    <a:srcRect/>
                    <a:stretch>
                      <a:fillRect/>
                    </a:stretch>
                  </pic:blipFill>
                  <pic:spPr>
                    <a:xfrm>
                      <a:off x="0" y="0"/>
                      <a:ext cx="2857500" cy="1943100"/>
                    </a:xfrm>
                    <a:prstGeom prst="rect">
                      <a:avLst/>
                    </a:prstGeom>
                  </pic:spPr>
                </pic:pic>
              </a:graphicData>
            </a:graphic>
          </wp:inline>
        </w:drawing>
      </w:r>
    </w:p>
    <w:p w14:paraId="12A0CD61">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6: Churn rate by gender</w:t>
      </w:r>
    </w:p>
    <w:p w14:paraId="35ACFD3E">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2857500" cy="1943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2"/>
                    <a:srcRect/>
                    <a:stretch>
                      <a:fillRect/>
                    </a:stretch>
                  </pic:blipFill>
                  <pic:spPr>
                    <a:xfrm>
                      <a:off x="0" y="0"/>
                      <a:ext cx="2857500" cy="1943100"/>
                    </a:xfrm>
                    <a:prstGeom prst="rect">
                      <a:avLst/>
                    </a:prstGeom>
                  </pic:spPr>
                </pic:pic>
              </a:graphicData>
            </a:graphic>
          </wp:inline>
        </w:drawing>
      </w:r>
    </w:p>
    <w:p w14:paraId="67B329A8">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7: Churn rate by senior citizen status</w:t>
      </w:r>
    </w:p>
    <w:p w14:paraId="15D47BFD">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Supplementary: Correlation Heatmap</w:t>
      </w:r>
    </w:p>
    <w:p w14:paraId="348E0380">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Numeric features show tenure and TotalCharges are strongly correlated (0.83), as expected since charges accumulate over time. MonthlyCharges and TotalCharges are moderately correlated (0.65). SeniorCitizen shows weak correlation with all numeric variables.</w:t>
      </w:r>
    </w:p>
    <w:p w14:paraId="5D8A9966">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3238500" cy="2200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3"/>
                    <a:srcRect/>
                    <a:stretch>
                      <a:fillRect/>
                    </a:stretch>
                  </pic:blipFill>
                  <pic:spPr>
                    <a:xfrm>
                      <a:off x="0" y="0"/>
                      <a:ext cx="3238500" cy="2200275"/>
                    </a:xfrm>
                    <a:prstGeom prst="rect">
                      <a:avLst/>
                    </a:prstGeom>
                  </pic:spPr>
                </pic:pic>
              </a:graphicData>
            </a:graphic>
          </wp:inline>
        </w:drawing>
      </w:r>
    </w:p>
    <w:p w14:paraId="5035AA07">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8: Correlation heatmap of numeric features</w:t>
      </w:r>
    </w:p>
    <w:p w14:paraId="451CEB7A">
      <w:pPr>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br w:type="page"/>
      </w:r>
    </w:p>
    <w:p w14:paraId="46E20D72">
      <w:pPr>
        <w:pStyle w:val="2"/>
        <w:spacing w:before="300"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4. Feature Engineering</w:t>
      </w:r>
    </w:p>
    <w:p w14:paraId="39CE90B4">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Three new features were engineered based on the patterns identified above, each validated by checking its relationship with churn before inclusion in the final dataset.</w:t>
      </w:r>
    </w:p>
    <w:p w14:paraId="73E0BDE4">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TenureGroup</w:t>
      </w:r>
    </w:p>
    <w:p w14:paraId="2DCCD625">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Tenure was bucketed into four ranges (0-1 year, 1-2 years, 2-4 years, 4+ years) to make the churn relationship more interpretable and to help tree-based models split more effectively than on a raw continuous value. Churn drops sharply and consistently across groups: 47.4% → 28.7% → 20.4% → 9.5%.</w:t>
      </w:r>
    </w:p>
    <w:p w14:paraId="53D19735">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4000500" cy="2724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4"/>
                    <a:srcRect/>
                    <a:stretch>
                      <a:fillRect/>
                    </a:stretch>
                  </pic:blipFill>
                  <pic:spPr>
                    <a:xfrm>
                      <a:off x="0" y="0"/>
                      <a:ext cx="4000500" cy="2724150"/>
                    </a:xfrm>
                    <a:prstGeom prst="rect">
                      <a:avLst/>
                    </a:prstGeom>
                  </pic:spPr>
                </pic:pic>
              </a:graphicData>
            </a:graphic>
          </wp:inline>
        </w:drawing>
      </w:r>
    </w:p>
    <w:p w14:paraId="5C679653">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9: Churn rate by engineered TenureGroup feature</w:t>
      </w:r>
    </w:p>
    <w:p w14:paraId="776C77F9">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NumServices</w:t>
      </w:r>
    </w:p>
    <w:p w14:paraId="55B6DD5D">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A count of how many of 8 possible add-on services (phone, security, backup, protection, tech support, streaming TV/movies) each customer subscribes to, used as a proxy for ecosystem engagement. The relationship with churn is non-monotonic: churn is highest for customers with 0 services (43.8%) or 2-4 services (33-37%), and lowest for fully bundled customers with 7-8 services (12.4%, 5.3%). This suggests deep service adoption strongly correlates with retention, while customers still building out their service set (often newer customers) remain at elevated risk.</w:t>
      </w:r>
    </w:p>
    <w:p w14:paraId="714A7289">
      <w:pPr>
        <w:pStyle w:val="3"/>
        <w:spacing w:before="2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SpendingTier</w:t>
      </w:r>
    </w:p>
    <w:p w14:paraId="01773F0A">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MonthlyCharges was split into three equal-sized tiers (Low, Medium, High) using quantile binning, complementing the InternetService and NumServices findings. Churn increases monotonically across tiers: 15.9% (Low) → 29.7% (Medium) → 34.1% (High).</w:t>
      </w:r>
    </w:p>
    <w:p w14:paraId="1A8DA460">
      <w:pPr>
        <w:spacing w:before="100" w:after="10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drawing>
          <wp:inline distT="0" distB="0" distL="0" distR="0">
            <wp:extent cx="3619500" cy="2457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5"/>
                    <a:srcRect/>
                    <a:stretch>
                      <a:fillRect/>
                    </a:stretch>
                  </pic:blipFill>
                  <pic:spPr>
                    <a:xfrm>
                      <a:off x="0" y="0"/>
                      <a:ext cx="3619500" cy="2457450"/>
                    </a:xfrm>
                    <a:prstGeom prst="rect">
                      <a:avLst/>
                    </a:prstGeom>
                  </pic:spPr>
                </pic:pic>
              </a:graphicData>
            </a:graphic>
          </wp:inline>
        </w:drawing>
      </w:r>
    </w:p>
    <w:p w14:paraId="56F8C2B1">
      <w:pPr>
        <w:spacing w:after="300"/>
        <w:jc w:val="both"/>
        <w:rPr>
          <w:rFonts w:hint="default" w:ascii="Times New Roman" w:hAnsi="Times New Roman" w:cs="Times New Roman"/>
          <w:color w:val="auto"/>
          <w:sz w:val="24"/>
          <w:szCs w:val="24"/>
        </w:rPr>
      </w:pPr>
      <w:r>
        <w:rPr>
          <w:rFonts w:hint="default" w:ascii="Times New Roman" w:hAnsi="Times New Roman" w:cs="Times New Roman"/>
          <w:i/>
          <w:iCs/>
          <w:color w:val="auto"/>
          <w:sz w:val="24"/>
          <w:szCs w:val="24"/>
        </w:rPr>
        <w:t>Figure 10: Churn rate by engineered SpendingTier feature</w:t>
      </w:r>
    </w:p>
    <w:p w14:paraId="16C73718">
      <w:pPr>
        <w:pStyle w:val="2"/>
        <w:spacing w:before="300"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5. Feature Preprocessing</w:t>
      </w:r>
    </w:p>
    <w:p w14:paraId="1992DE81">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To prepare the dataset for machine learning, the following steps were applied:</w:t>
      </w:r>
    </w:p>
    <w:p w14:paraId="7D4B2D6D">
      <w:pPr>
        <w:pStyle w:val="16"/>
        <w:numPr>
          <w:ilvl w:val="0"/>
          <w:numId w:val="1"/>
        </w:numPr>
        <w:spacing w:after="8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Dropped customerID (non-predictive identifier)</w:t>
      </w:r>
    </w:p>
    <w:p w14:paraId="22AC1B0D">
      <w:pPr>
        <w:pStyle w:val="16"/>
        <w:numPr>
          <w:ilvl w:val="0"/>
          <w:numId w:val="1"/>
        </w:numPr>
        <w:spacing w:after="8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Encoded the target variable Churn as binary (Yes = 1, No = 0)</w:t>
      </w:r>
    </w:p>
    <w:p w14:paraId="0F5FE1B1">
      <w:pPr>
        <w:pStyle w:val="16"/>
        <w:numPr>
          <w:ilvl w:val="0"/>
          <w:numId w:val="1"/>
        </w:numPr>
        <w:spacing w:after="8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One-hot encoded all categorical features (drop_first=True to avoid redundant columns)</w:t>
      </w:r>
    </w:p>
    <w:p w14:paraId="4B7DD78B">
      <w:pPr>
        <w:pStyle w:val="16"/>
        <w:numPr>
          <w:ilvl w:val="0"/>
          <w:numId w:val="1"/>
        </w:numPr>
        <w:spacing w:after="8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Standardized numerical features (tenure, MonthlyCharges, TotalCharges, NumServices) using StandardScaler</w:t>
      </w:r>
    </w:p>
    <w:p w14:paraId="657A70E7">
      <w:pPr>
        <w:pStyle w:val="16"/>
        <w:numPr>
          <w:ilvl w:val="0"/>
          <w:numId w:val="1"/>
        </w:numPr>
        <w:spacing w:after="8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Split the dataset into features (X) and target (y): final shape (7,043 rows × 36 feature columns)</w:t>
      </w:r>
    </w:p>
    <w:p w14:paraId="76FCD436">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resulting dataset, telco_churn_feature_engineered.csv, is fully machine-learning-ready and will be used as the starting point for model development in Week 3.</w:t>
      </w:r>
    </w:p>
    <w:p w14:paraId="40B88EF6">
      <w:pPr>
        <w:pStyle w:val="2"/>
        <w:spacing w:before="300"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6. Summary</w:t>
      </w:r>
    </w:p>
    <w:p w14:paraId="4CFD8A8D">
      <w:pPr>
        <w:spacing w:after="150"/>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This week's analysis identified six substantiated churn drivers — contract type, tenure, monthly charges, internet service type, payment method, and senior citizen status — while confirming gender has no meaningful effect. Three engineered features (TenureGroup, NumServices</w:t>
      </w:r>
      <w:bookmarkStart w:id="0" w:name="_GoBack"/>
      <w:bookmarkEnd w:id="0"/>
      <w:r>
        <w:rPr>
          <w:rFonts w:hint="default" w:ascii="Times New Roman" w:hAnsi="Times New Roman" w:cs="Times New Roman"/>
          <w:color w:val="auto"/>
          <w:sz w:val="24"/>
          <w:szCs w:val="24"/>
        </w:rPr>
        <w:t>, SpendingTier) were created, validated against churn, and incorporated into a final preprocessed dataset ready for model training.</w:t>
      </w:r>
    </w:p>
    <w:p w14:paraId="73F1F2E7">
      <w:pPr>
        <w:spacing w:after="150"/>
        <w:jc w:val="both"/>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Deliverables completed: EDA notebook, 10 visualizations, 6 documented insights, 3 engineered features with justification, and a machine-learning-ready dataset.</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39363D">
    <w:pPr>
      <w:jc w:val="center"/>
    </w:pPr>
    <w:r>
      <w:rPr>
        <w:sz w:val="18"/>
        <w:szCs w:val="18"/>
      </w:rPr>
      <w:t xml:space="preserve">Page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FD05D">
    <w:pPr>
      <w:jc w:val="right"/>
    </w:pPr>
    <w:r>
      <w:rPr>
        <w:color w:val="888888"/>
        <w:sz w:val="18"/>
        <w:szCs w:val="18"/>
      </w:rPr>
      <w:t>NexAfrica ML Internship — Customer Churn Prediction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3B1D465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214</Words>
  <Characters>1242</Characters>
  <TotalTime>11</TotalTime>
  <ScaleCrop>false</ScaleCrop>
  <LinksUpToDate>false</LinksUpToDate>
  <CharactersWithSpaces>1422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2026-09-17T16:56:00Z</dcterms:created>
  <dc:creator>Un-named</dc:creator>
  <cp:lastModifiedBy>gloria boateng</cp:lastModifiedBy>
  <dcterms:modified xsi:type="dcterms:W3CDTF">2026-09-17T17:17:57Z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eyJoZGlkIjoiOTVkMGUzMGQ5MzRjNThlZmE1OGRlYzU5N2Y5NWZjOGUiLCJ1c2VySWQiOiIxNjY2NTEzOTUwODM5In0=</vt:lpwstr>
  </property>
  <property fmtid="{D5CDD505-2E9C-101B-9397-08002B2CF9AE}" pid="3" name="KSOProductBuildVer">
    <vt:lpwstr>1033-12.1.0.28485</vt:lpwstr>
  </property>
  <property fmtid="{D5CDD505-2E9C-101B-9397-08002B2CF9AE}" pid="4" name="ICV">
    <vt:lpwstr>9EFC3914B04A464B8377D1728BE63E69_12</vt:lpwstr>
  </property>
</Properties>
</file>